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endnotes.xml" ContentType="application/vnd.openxmlformats-officedocument.wordprocessingml.end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16" w:lineRule="auto"/>
        <w:jc w:val="center"/>
        <w:outlineLvl w:val="0"/>
        <w:rPr>
          <w:rFonts w:cs="Calibri"/>
          <w:sz w:val="24"/>
          <w:szCs w:val="24"/>
        </w:rPr>
      </w:pPr>
      <w:bookmarkStart w:id="0" w:name="_GoBack"/>
      <w:bookmarkEnd w:id="0"/>
      <w:r>
        <w:rPr>
          <w:rFonts w:cs="Calibri"/>
          <w:b/>
          <w:bCs/>
          <w:sz w:val="24"/>
          <w:szCs w:val="24"/>
        </w:rPr>
        <w:t xml:space="preserve">ДОГОВОР КУПЛИ-ПРОДАЖИ </w:t>
      </w:r>
      <w:sdt>
        <w:sdtPr>
          <w:alias w:val=""/>
          <w15:appearance w15:val="hidden"/>
          <w15:color w:val="ffffff"/>
          <w:id w:val="1959072832"/>
          <w:placeholder>
            <w:docPart w:val="DefaultPlaceholder_-1854013440"/>
          </w:placeholder>
          <w:tag w:val=""/>
          <w:rPr>
            <w:rFonts w:cs="Calibri"/>
            <w:b/>
            <w:bCs/>
            <w:sz w:val="24"/>
            <w:szCs w:val="24"/>
          </w:rPr>
        </w:sdtPr>
        <w:sdtContent>
          <w:sdt>
            <w:sdtPr>
              <w15:appearance w15:val="hidden"/>
              <w15:color w:val="ffffff"/>
              <w:id w:val="-709484534"/>
              <w:lock w:val="sdtLocked"/>
              <w:placeholder>
                <w:docPart w:val="DefaultPlaceholder_-1854013440"/>
              </w:placeholder>
              <w:rPr>
                <w:rFonts w:cs="Calibri"/>
                <w:b/>
                <w:bCs/>
                <w:sz w:val="24"/>
                <w:szCs w:val="24"/>
              </w:rPr>
            </w:sdtPr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 xml:space="preserve">№ </w:t>
              </w:r>
            </w:sdtContent>
          </w:sdt>
        </w:sdtContent>
      </w:sdt>
    </w:p>
    <w:tbl>
      <w:tblPr>
        <w:tblW w:w="96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>
        <w:trPr>
          <w:trHeight w:val="605"/>
        </w:trPr>
        <w:tc>
          <w:tcPr>
            <w:tcW w:w="481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vAlign w:val="center"/>
          </w:tcPr>
          <w:p>
            <w:pPr>
              <w:spacing w:before="240" w:after="240" w:line="21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г. Новороссийск</w:t>
            </w:r>
          </w:p>
        </w:tc>
        <w:tc>
          <w:tcPr>
            <w:tcW w:w="481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vAlign w:val="center"/>
          </w:tcPr>
          <w:p>
            <w:pPr>
              <w:spacing w:before="240" w:after="240" w:line="216" w:lineRule="auto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«___» ______________ 2026 г.</w:t>
            </w:r>
          </w:p>
        </w:tc>
      </w:tr>
    </w:tbl>
    <w:p>
      <w:pPr>
        <w:spacing w:after="0" w:line="216" w:lineRule="auto"/>
        <w:ind w:firstLine="708"/>
        <w:jc w:val="both"/>
        <w:rPr>
          <w:rFonts w:cs="Calibri"/>
          <w:sz w:val="24"/>
          <w:szCs w:val="24"/>
        </w:rPr>
      </w:pPr>
      <w:r>
        <w:rPr>
          <w:b/>
          <w:sz w:val="24"/>
          <w:szCs w:val="24"/>
        </w:rPr>
        <w:t xml:space="preserve">Публичное акционерное общество «Новороссийский морской торговый порт» (ПАО «НМТП»)</w:t>
      </w:r>
      <w:r>
        <w:rPr>
          <w:sz w:val="24"/>
          <w:szCs w:val="24"/>
        </w:rPr>
        <w:t xml:space="preserve">, именуемое в дальнейшем </w:t>
      </w:r>
      <w:r>
        <w:rPr>
          <w:b/>
          <w:sz w:val="24"/>
          <w:szCs w:val="24"/>
        </w:rPr>
        <w:t xml:space="preserve">«Продавец»</w:t>
      </w:r>
      <w:r>
        <w:rPr>
          <w:sz w:val="24"/>
          <w:szCs w:val="24"/>
        </w:rPr>
        <w:t xml:space="preserve">, в лице _________________</w:t>
      </w:r>
      <w:r>
        <w:rPr>
          <w:sz w:val="24"/>
          <w:szCs w:val="24"/>
        </w:rPr>
        <w:t xml:space="preserve">, действующего на основании доверенности ________________________, с одной стороны</w:t>
      </w:r>
      <w:r>
        <w:rPr>
          <w:rFonts w:cs="Calibri"/>
          <w:sz w:val="24"/>
          <w:szCs w:val="24"/>
        </w:rPr>
        <w:t xml:space="preserve">, и </w:t>
      </w:r>
    </w:p>
    <w:bookmarkStart w:id="1" w:name="OLE_LINK1"/>
    <w:p>
      <w:pPr>
        <w:spacing w:after="0" w:line="216" w:lineRule="auto"/>
        <w:ind w:firstLine="708"/>
        <w:jc w:val="both"/>
        <w:rPr>
          <w:sz w:val="24"/>
          <w:szCs w:val="24"/>
        </w:rPr>
      </w:pPr>
      <w:sdt>
        <w:sdtPr>
          <w:alias w:val=""/>
          <w15:appearance w15:val="hidden"/>
          <w15:color w:val="ffffff"/>
          <w:id w:val="1577165143"/>
          <w:placeholder>
            <w:docPart w:val="2266f63b2a064051a66a2b596810e03c"/>
          </w:placeholder>
          <w:tag w:val=""/>
          <w:rPr>
            <w:rFonts w:cs="Calibri"/>
            <w:sz w:val="24"/>
            <w:szCs w:val="24"/>
          </w:rPr>
        </w:sdtPr>
        <w:sdtContent>
          <w:bookmarkEnd w:id="1"/>
          <w:r>
            <w:rPr>
              <w:rFonts w:cs="Calibri"/>
              <w:b/>
              <w:sz w:val="24"/>
              <w:szCs w:val="24"/>
            </w:rPr>
            <w:t xml:space="preserve">__________________________________, </w:t>
          </w:r>
          <w:r>
            <w:rPr>
              <w:sz w:val="24"/>
              <w:szCs w:val="24"/>
            </w:rPr>
            <w:t xml:space="preserve">д</w:t>
          </w:r>
        </w:sdtContent>
      </w:sdt>
      <w:r>
        <w:rPr>
          <w:sz w:val="24"/>
          <w:szCs w:val="24"/>
        </w:rPr>
        <w:t xml:space="preserve">ействующий на основании ______, именуемый в дальнейшем </w:t>
      </w:r>
      <w:r>
        <w:rPr>
          <w:b/>
          <w:sz w:val="24"/>
          <w:szCs w:val="24"/>
        </w:rPr>
        <w:t xml:space="preserve">«Покупатель», </w:t>
      </w:r>
      <w:r>
        <w:rPr>
          <w:sz w:val="24"/>
          <w:szCs w:val="24"/>
        </w:rPr>
        <w:t xml:space="preserve">с другой стороны, именуемые вместе «Стороны», а по отдельност</w:t>
      </w:r>
      <w:r>
        <w:rPr>
          <w:sz w:val="24"/>
          <w:szCs w:val="24"/>
        </w:rPr>
        <w:t xml:space="preserve">и «Сторона», </w:t>
      </w:r>
      <w:r>
        <w:rPr>
          <w:rFonts w:cs="Calibri"/>
          <w:sz w:val="24"/>
          <w:szCs w:val="24"/>
        </w:rPr>
        <w:t xml:space="preserve">заключили настоящий договор (далее - Договор) о нижеследующем.</w:t>
      </w:r>
    </w:p>
    <w:p>
      <w:pPr>
        <w:keepNext/>
        <w:numPr>
          <w:numId w:val="3"/>
          <w:ilvl w:val="0"/>
        </w:numPr>
        <w:spacing w:before="240" w:after="240" w:line="216" w:lineRule="auto"/>
        <w:jc w:val="center"/>
        <w:outlineLvl w:val="1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ПРЕДМЕТ ДОГОВОРА</w:t>
      </w:r>
    </w:p>
    <w:p>
      <w:pPr>
        <w:pStyle w:val="af5"/>
        <w:numPr>
          <w:numId w:val="3"/>
          <w:ilvl w:val="1"/>
        </w:numPr>
        <w:tabs>
          <w:tab w:val="left" w:pos="900"/>
          <w:tab w:val="left" w:pos="9360"/>
        </w:tabs>
        <w:spacing w:after="0" w:line="216" w:lineRule="auto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 Продавец обязуется передать в собственность Покупателя </w:t>
      </w:r>
      <w:sdt>
        <w:sdtPr>
          <w:alias w:val="Предмет договора"/>
          <w15:appearance w15:val="hidden"/>
          <w15:color w:val="ffffff"/>
          <w:id w:val="-1673875598"/>
          <w:lock w:val="sdtLocked"/>
          <w:placeholder>
            <w:docPart w:val="DefaultPlaceholder_-1854013440"/>
          </w:placeholder>
          <w:tag w:val="Предмет_договора"/>
          <w:rPr>
            <w:rFonts w:cs="Calibri"/>
            <w:b/>
            <w:sz w:val="24"/>
            <w:szCs w:val="24"/>
          </w:rPr>
        </w:sdtPr>
        <w:sdtContent>
          <w:r>
            <w:rPr>
              <w:rFonts w:cs="Calibri"/>
              <w:b/>
              <w:sz w:val="24"/>
              <w:szCs w:val="24"/>
            </w:rPr>
            <w:t xml:space="preserve">сменно-запасные части  </w:t>
          </w:r>
        </w:sdtContent>
      </w:sdt>
      <w:r>
        <w:rPr>
          <w:rFonts w:cs="Calibri"/>
          <w:b/>
          <w:bCs/>
          <w:sz w:val="24"/>
          <w:szCs w:val="24"/>
        </w:rPr>
        <w:t xml:space="preserve">(б/у) </w:t>
      </w:r>
      <w:r>
        <w:rPr>
          <w:rFonts w:cs="Calibri"/>
          <w:sz w:val="24"/>
          <w:szCs w:val="24"/>
        </w:rPr>
        <w:t xml:space="preserve">(далее – Товар), </w:t>
      </w:r>
      <w:r>
        <w:rPr>
          <w:rFonts w:eastAsia="Calibri"/>
          <w:sz w:val="24"/>
          <w:szCs w:val="24"/>
        </w:rPr>
        <w:t xml:space="preserve">в количестве и ассортименте согласно спецификации (приложен</w:t>
      </w:r>
      <w:r>
        <w:rPr>
          <w:rFonts w:eastAsia="Calibri"/>
          <w:sz w:val="24"/>
          <w:szCs w:val="24"/>
        </w:rPr>
        <w:t xml:space="preserve">ие</w:t>
      </w:r>
      <w:r>
        <w:rPr>
          <w:sz w:val="24"/>
          <w:szCs w:val="24"/>
        </w:rPr>
        <w:t xml:space="preserve"> №</w:t>
      </w:r>
      <w:r>
        <w:rPr>
          <w:rFonts w:eastAsia="Calibri"/>
          <w:sz w:val="24"/>
          <w:szCs w:val="24"/>
        </w:rPr>
        <w:t xml:space="preserve"> 1 к настоящему договору), </w:t>
      </w:r>
      <w:r>
        <w:rPr>
          <w:rFonts w:cs="Calibri"/>
          <w:sz w:val="24"/>
          <w:szCs w:val="24"/>
        </w:rPr>
        <w:t xml:space="preserve">а Покупатель обязуется принять и оплатить этот Товар в порядке и в сроки, установленные Договором.</w:t>
      </w:r>
    </w:p>
    <w:p>
      <w:pPr>
        <w:pStyle w:val="af5"/>
        <w:numPr>
          <w:numId w:val="3"/>
          <w:ilvl w:val="1"/>
        </w:numPr>
        <w:tabs>
          <w:tab w:val="left" w:pos="900"/>
          <w:tab w:val="left" w:pos="9360"/>
        </w:tabs>
        <w:spacing w:after="0" w:line="216" w:lineRule="auto"/>
        <w:ind w:firstLine="709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Продавец гарантирует, что передаваемый Товар принадлежит ему на праве собственности, не является предметом спор</w:t>
      </w:r>
      <w:r>
        <w:rPr>
          <w:rFonts w:cs="Calibri"/>
          <w:sz w:val="24"/>
          <w:szCs w:val="24"/>
        </w:rPr>
        <w:t xml:space="preserve">а или залога, под арестом не состоит и не обременён другими правами третьих лиц.</w:t>
      </w:r>
    </w:p>
    <w:p>
      <w:pPr>
        <w:keepNext/>
        <w:numPr>
          <w:numId w:val="3"/>
          <w:ilvl w:val="0"/>
        </w:numPr>
        <w:spacing w:before="240" w:after="240" w:line="216" w:lineRule="auto"/>
        <w:jc w:val="center"/>
        <w:outlineLvl w:val="1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СРОКИ И ПОРЯДОК ПЕРЕДАЧИ ТОВАРА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Покупатель обязуется получить и вывезти Товар со склада Продавца в течение 10 (десяти) рабочих дней со дня, следующего за датой оплаты Товара.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Товар передаётся Покупателю </w:t>
      </w:r>
      <w:r>
        <w:rPr>
          <w:rFonts w:cs="Calibri"/>
          <w:iCs/>
          <w:sz w:val="24"/>
          <w:szCs w:val="24"/>
        </w:rPr>
        <w:t xml:space="preserve">на складе</w:t>
      </w:r>
      <w:r>
        <w:rPr>
          <w:rFonts w:cs="Calibri"/>
          <w:bCs/>
          <w:sz w:val="24"/>
          <w:szCs w:val="24"/>
        </w:rPr>
        <w:t xml:space="preserve"> Продавца только после его полной оплаты. При этом, вывоз Товара со склада Продавца, расположенного по адресу</w:t>
      </w:r>
      <w:r>
        <w:rPr>
          <w:rFonts w:cs="Calibri"/>
          <w:sz w:val="24"/>
          <w:szCs w:val="24"/>
        </w:rPr>
        <w:t xml:space="preserve">: г. Новороссийск, ул. Портовая 18, </w:t>
      </w:r>
      <w:r>
        <w:rPr>
          <w:rFonts w:cs="Calibri"/>
          <w:bCs/>
          <w:sz w:val="24"/>
          <w:szCs w:val="24"/>
        </w:rPr>
        <w:t xml:space="preserve">обеспечивает Покупатель своими силами и за свой счёт (в том числе </w:t>
      </w:r>
      <w:r>
        <w:rPr>
          <w:rFonts w:cs="Calibri"/>
          <w:sz w:val="24"/>
          <w:szCs w:val="24"/>
        </w:rPr>
        <w:t xml:space="preserve">всей документации, необходимой для получения пропусков на автотранспорт и сопровождающих на территорию Продавца). 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Планируемая дата передачи оплаченного Товара сообщается Покупателем, в письменной форме, посредством направления электронного уведомления на </w:t>
      </w:r>
      <w:r>
        <w:rPr>
          <w:rFonts w:cs="Calibri"/>
          <w:sz w:val="24"/>
          <w:szCs w:val="24"/>
        </w:rPr>
        <w:t xml:space="preserve">контактную электронную почту: </w:t>
      </w:r>
      <w:r>
        <w:rPr>
          <w:rFonts w:cs="Calibri"/>
          <w:sz w:val="24"/>
          <w:szCs w:val="24"/>
        </w:rPr>
        <w:t xml:space="preserve">ACHernaya</w:t>
      </w:r>
      <w:r>
        <w:rPr>
          <w:rFonts w:cs="Calibri"/>
          <w:sz w:val="24"/>
          <w:szCs w:val="24"/>
        </w:rPr>
        <w:t xml:space="preserve">@</w:t>
      </w:r>
      <w:r>
        <w:rPr>
          <w:rFonts w:cs="Calibri"/>
          <w:sz w:val="24"/>
          <w:szCs w:val="24"/>
          <w:lang w:val="en-US"/>
        </w:rPr>
        <w:t xml:space="preserve">ncsp</w:t>
      </w:r>
      <w:r>
        <w:rPr>
          <w:rFonts w:cs="Calibri"/>
          <w:sz w:val="24"/>
          <w:szCs w:val="24"/>
        </w:rPr>
        <w:t xml:space="preserve">.</w:t>
      </w:r>
      <w:r>
        <w:rPr>
          <w:rFonts w:cs="Calibri"/>
          <w:sz w:val="24"/>
          <w:szCs w:val="24"/>
          <w:lang w:val="en-US"/>
        </w:rPr>
        <w:t xml:space="preserve">com</w:t>
      </w:r>
      <w:r>
        <w:rPr>
          <w:rFonts w:cs="Calibri"/>
          <w:sz w:val="24"/>
          <w:szCs w:val="24"/>
        </w:rPr>
        <w:t xml:space="preserve">, не позднее 1 (одного) рабочего дня до даты планируемой передачи Товара. В случае отсутствия уведомления или уведомления о планируемой дате передачи позднее указанного срока, дата передачи Товара может быть </w:t>
      </w:r>
      <w:r>
        <w:rPr>
          <w:rFonts w:cs="Calibri"/>
          <w:sz w:val="24"/>
          <w:szCs w:val="24"/>
        </w:rPr>
        <w:t xml:space="preserve">перенесена на следующий рабочий день.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Право собственности на Товар, риск его случайной гибели или случайного повреждения переходит от Продавца к Покупателю с даты приёмки Товара Покупателем на складе Продавца с подписанием сторонами товарной накладной (ТОР</w:t>
      </w:r>
      <w:r>
        <w:rPr>
          <w:rFonts w:cs="Calibri"/>
          <w:sz w:val="24"/>
          <w:szCs w:val="24"/>
        </w:rPr>
        <w:t xml:space="preserve">Г-12)</w:t>
      </w:r>
      <w:r>
        <w:rPr>
          <w:rFonts w:cs="Calibri"/>
          <w:bCs/>
          <w:sz w:val="24"/>
          <w:szCs w:val="24"/>
        </w:rPr>
        <w:t xml:space="preserve">.</w:t>
      </w:r>
    </w:p>
    <w:p>
      <w:pPr>
        <w:spacing w:after="0" w:line="216" w:lineRule="auto"/>
        <w:ind w:firstLine="1100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Товар подлежит передаче полномочному представителю Покупателя только при наличии доверенности на получение Товара, которая передаётся представителю на складе Продавца в момент передачи Товара.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Покупатель обязуется совершить все необходимые действия,</w:t>
      </w:r>
      <w:r>
        <w:rPr>
          <w:rFonts w:cs="Calibri"/>
          <w:sz w:val="24"/>
          <w:szCs w:val="24"/>
        </w:rPr>
        <w:t xml:space="preserve"> обеспечивающие принятие Товара.</w:t>
      </w:r>
    </w:p>
    <w:p>
      <w:pPr>
        <w:numPr>
          <w:numId w:val="3"/>
          <w:ilvl w:val="1"/>
        </w:numPr>
        <w:spacing w:after="0" w:line="216" w:lineRule="auto"/>
        <w:contextualSpacing/>
        <w:jc w:val="both"/>
        <w:rPr>
          <w:bCs/>
          <w:sz w:val="24"/>
          <w:szCs w:val="24"/>
        </w:rPr>
      </w:pPr>
      <w:r>
        <w:rPr>
          <w:rFonts w:cs="Calibri"/>
          <w:sz w:val="24"/>
          <w:szCs w:val="24"/>
        </w:rPr>
        <w:t xml:space="preserve">Приёмка Товара по количеству, качеству и комплектности производится в соответствии с условиями Договора, Гражданского кодекса Российской Федерации и локальными нормативными документами Продавца, при его передаче Покупателю </w:t>
      </w:r>
      <w:r>
        <w:rPr>
          <w:rFonts w:cs="Calibri"/>
          <w:sz w:val="24"/>
          <w:szCs w:val="24"/>
        </w:rPr>
        <w:t xml:space="preserve">на складе Продавца, что подтверждается п</w:t>
      </w:r>
      <w:r>
        <w:rPr>
          <w:bCs/>
          <w:sz w:val="24"/>
          <w:szCs w:val="24"/>
        </w:rPr>
        <w:t xml:space="preserve">одписанием Покупателем счета-фактуры и товарной накладной (ТОРГ-12).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Покупатель подтверждает, что перед заключением настоящего Договора он ознакомлен с техническим состоянием Товара. Покупатель признает, что его полн</w:t>
      </w:r>
      <w:r>
        <w:rPr>
          <w:rFonts w:cs="Calibri"/>
          <w:sz w:val="24"/>
          <w:szCs w:val="24"/>
        </w:rPr>
        <w:t xml:space="preserve">остью удовлетворяет имеющееся на дату заключения Договора техническое состояние передаваемого ему по настоящему Договору Товара, поэтому техническое состояние Товара не может являться основанием для предъявления претензий к Продавцу, а также не влияет на с</w:t>
      </w:r>
      <w:r>
        <w:rPr>
          <w:rFonts w:cs="Calibri"/>
          <w:sz w:val="24"/>
          <w:szCs w:val="24"/>
        </w:rPr>
        <w:t xml:space="preserve">тоимость Товара по настоящему Договору, на факт заключения настоящего Договора и не может быть основанием для изменения либо расторжения Договора.</w:t>
      </w:r>
    </w:p>
    <w:p>
      <w:pPr>
        <w:keepNext/>
        <w:numPr>
          <w:numId w:val="3"/>
          <w:ilvl w:val="0"/>
        </w:numPr>
        <w:spacing w:before="240" w:after="240" w:line="216" w:lineRule="auto"/>
        <w:jc w:val="center"/>
        <w:outlineLvl w:val="1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ЦЕНА, СРОКИ И ПОРЯДОК ОПЛАТЫ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pacing w:val="3"/>
          <w:sz w:val="24"/>
          <w:szCs w:val="24"/>
        </w:rPr>
        <w:t xml:space="preserve">Цена за единицу Товара без НДС и общая сумма Товара с НДС указываются Сторонами </w:t>
      </w:r>
      <w:r>
        <w:rPr>
          <w:rFonts w:cs="Calibri"/>
          <w:spacing w:val="3"/>
          <w:sz w:val="24"/>
          <w:szCs w:val="24"/>
        </w:rPr>
        <w:t xml:space="preserve">в Спецификации (Приложение №1)</w:t>
      </w:r>
      <w:r>
        <w:rPr>
          <w:spacing w:val="3"/>
          <w:sz w:val="24"/>
          <w:szCs w:val="24"/>
        </w:rPr>
        <w:t xml:space="preserve">.</w:t>
      </w:r>
      <w:r>
        <w:rPr>
          <w:rFonts w:eastAsia="Calibri"/>
          <w:spacing w:val="3"/>
          <w:sz w:val="24"/>
          <w:szCs w:val="24"/>
        </w:rPr>
        <w:t xml:space="preserve"> В стоимость Товара входит стоимость услуг</w:t>
      </w:r>
      <w:r>
        <w:rPr>
          <w:rFonts w:eastAsia="Calibri"/>
          <w:spacing w:val="4"/>
          <w:sz w:val="24"/>
          <w:szCs w:val="24"/>
        </w:rPr>
        <w:t xml:space="preserve"> Продавца по</w:t>
      </w:r>
      <w:r>
        <w:rPr>
          <w:rFonts w:eastAsia="Calibri"/>
          <w:sz w:val="24"/>
          <w:szCs w:val="24"/>
        </w:rPr>
        <w:t xml:space="preserve"> погрузке Товара в транспортное средство Покупателя.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Покупатель производит оплату за Товар в срок не позднее 15 (пятнадцати) рабочих дней с даты получения счета Продавца. </w:t>
      </w:r>
      <w:r>
        <w:rPr>
          <w:rFonts w:cs="Calibri"/>
          <w:sz w:val="24"/>
          <w:szCs w:val="24"/>
        </w:rPr>
        <w:t xml:space="preserve">Продавец выставляет счёт на оплату Товара в срок не позднее 3 (трёх) рабочих дней с даты подписания сторонами настоящего договора.</w:t>
      </w:r>
    </w:p>
    <w:p>
      <w:pPr>
        <w:numPr>
          <w:numId w:val="3"/>
          <w:ilvl w:val="1"/>
        </w:numPr>
        <w:shd w:val="clear" w:color="ffffff" w:themeColor="background1" w:fill="ffffff" w:themeFill="background1"/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Все расчёты по Договору производятся в безналичном порядке путём перечисления денежных средств на указанный Продавцом в Догов</w:t>
      </w:r>
      <w:r>
        <w:rPr>
          <w:rFonts w:cs="Calibri"/>
          <w:sz w:val="24"/>
          <w:szCs w:val="24"/>
        </w:rPr>
        <w:t xml:space="preserve">оре расчётный счёт. Обязательства Покупателя по оплате считаются исполненными на дату зачисления денежных средств на расчётный счёт банка Продавца.</w:t>
      </w:r>
    </w:p>
    <w:p>
      <w:pPr>
        <w:keepNext/>
        <w:numPr>
          <w:numId w:val="3"/>
          <w:ilvl w:val="0"/>
        </w:numPr>
        <w:spacing w:before="240" w:after="240" w:line="216" w:lineRule="auto"/>
        <w:jc w:val="center"/>
        <w:outlineLvl w:val="1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ОТВЕТСТВЕННОСТЬ СТОРОН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За нарушение сроков оплаты, предусмотренных п. 3.2 Договора, Продавец вправе требоват</w:t>
      </w:r>
      <w:r>
        <w:rPr>
          <w:rFonts w:cs="Calibri"/>
          <w:sz w:val="24"/>
          <w:szCs w:val="24"/>
        </w:rPr>
        <w:t xml:space="preserve">ь с Покупателя уплаты неустойки (пени) в размере 0,1% процента от неуплаченной суммы за каждый день просрочки.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За нарушение сроков вывоза Товара со склада Продавца (п.2.1 договора) Продавец вправе потребовать от Покупателя уплатить неустойку (пеню) в разме</w:t>
      </w:r>
      <w:r>
        <w:rPr>
          <w:rFonts w:cs="Calibri"/>
          <w:sz w:val="24"/>
          <w:szCs w:val="24"/>
        </w:rPr>
        <w:t xml:space="preserve">ре 0,1% от стоимости не вывезенного Товара за каждый день просрочки. В случае, если Покупатель, в соответствии с п.2.3, своевременно уведомил Продавца о дате вывоза и объёме Товара, но передача товара на складе не состоялась по вине Продавца, Покупатель вп</w:t>
      </w:r>
      <w:r>
        <w:rPr>
          <w:rFonts w:cs="Calibri"/>
          <w:sz w:val="24"/>
          <w:szCs w:val="24"/>
        </w:rPr>
        <w:t xml:space="preserve">раве потребовать от Продавца уплатить неустойку (пеню) в размере 0,1% от стоимости указанного в уведомлении Товара за каждый день просрочки передачи.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В случае отказа Покупателя от Имущества или при досрочном расторжении договора по его инициативе, возврат денежных средств Покупателю производится в течение 5 (пяти) рабочих дней со дня расторжения договора за вычетом неустойки в размере 3% (трёх процентов</w:t>
      </w:r>
      <w:r>
        <w:rPr>
          <w:rFonts w:cs="Calibri"/>
          <w:sz w:val="24"/>
          <w:szCs w:val="24"/>
        </w:rPr>
        <w:t xml:space="preserve">) от цены договора.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Во всех других случаях неисполнения обязательств по Договору Стороны несут ответственность в соответствии с действующим законодательством РФ.</w:t>
      </w:r>
    </w:p>
    <w:p>
      <w:pPr>
        <w:keepNext/>
        <w:numPr>
          <w:numId w:val="3"/>
          <w:ilvl w:val="0"/>
        </w:numPr>
        <w:spacing w:before="240" w:after="240" w:line="216" w:lineRule="auto"/>
        <w:jc w:val="center"/>
        <w:outlineLvl w:val="1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ФОРС-МАЖОР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Стороны освобождаются от ответственности за неисполнение или ненадлежащее исполнени</w:t>
      </w:r>
      <w:r>
        <w:rPr>
          <w:rFonts w:cs="Calibri"/>
          <w:sz w:val="24"/>
          <w:szCs w:val="24"/>
        </w:rPr>
        <w:t xml:space="preserve">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</w:t>
      </w:r>
      <w:r>
        <w:rPr>
          <w:rFonts w:cs="Calibri"/>
          <w:iCs/>
          <w:sz w:val="24"/>
          <w:szCs w:val="24"/>
        </w:rPr>
        <w:t xml:space="preserve">запретные действия властей, гражданские волнения, эпидемии, блокада, эмбарго, землетрясения</w:t>
      </w:r>
      <w:r>
        <w:rPr>
          <w:rFonts w:cs="Calibri"/>
          <w:iCs/>
          <w:sz w:val="24"/>
          <w:szCs w:val="24"/>
        </w:rPr>
        <w:t xml:space="preserve">, наводнения, пожары или другие стихийные бедствия</w:t>
      </w:r>
      <w:r>
        <w:rPr>
          <w:rFonts w:cs="Calibri"/>
          <w:sz w:val="24"/>
          <w:szCs w:val="24"/>
        </w:rPr>
        <w:t xml:space="preserve">.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В случае наступления этих обстоятельств Сторона обязана в течение 2 календарных дней уведомить об этом другую Сторону.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Документ, выданный </w:t>
      </w:r>
      <w:r>
        <w:rPr>
          <w:rFonts w:cs="Calibri"/>
          <w:iCs/>
          <w:sz w:val="24"/>
          <w:szCs w:val="24"/>
        </w:rPr>
        <w:t xml:space="preserve">Торгово-промышленной палатой г. Новороссийска</w:t>
      </w:r>
      <w:r>
        <w:rPr>
          <w:rFonts w:cs="Calibri"/>
          <w:sz w:val="24"/>
          <w:szCs w:val="24"/>
        </w:rPr>
        <w:t xml:space="preserve"> является достаточным подтверждением наличия и продолжительности действия непреодолимой силы.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Если обстоятельства непреодолимой силы продолжают действовать более 30 (Тридцати) календарных дней, то каждая Сторона вправе расторгнуть Договор в одностороннем п</w:t>
      </w:r>
      <w:r>
        <w:rPr>
          <w:rFonts w:cs="Calibri"/>
          <w:sz w:val="24"/>
          <w:szCs w:val="24"/>
        </w:rPr>
        <w:t xml:space="preserve">орядке.</w:t>
      </w:r>
    </w:p>
    <w:p>
      <w:pPr>
        <w:keepNext/>
        <w:numPr>
          <w:numId w:val="3"/>
          <w:ilvl w:val="0"/>
        </w:numPr>
        <w:spacing w:before="240" w:after="240" w:line="216" w:lineRule="auto"/>
        <w:jc w:val="center"/>
        <w:outlineLvl w:val="1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СРОК ДЕЙСТВИЯ, ИЗМЕНЕНИЕ И ДОСРОЧНОЕ РАСТОРЖЕНИЕ ДОГОВОРА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Договор вступает в силу с момента его подписания сторонами и действует до исполнения Сторонами обязательств по Договору.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Все изменения и дополнения к Договору действительны, если совершены в</w:t>
      </w:r>
      <w:r>
        <w:rPr>
          <w:rFonts w:cs="Calibri"/>
          <w:sz w:val="24"/>
          <w:szCs w:val="24"/>
        </w:rPr>
        <w:t xml:space="preserve">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Договор может быть досрочно расторгнут по соглашению Сторон либо по требованию одной из Сторон в порядке и по основаниям</w:t>
      </w:r>
      <w:r>
        <w:rPr>
          <w:rFonts w:cs="Calibri"/>
          <w:sz w:val="24"/>
          <w:szCs w:val="24"/>
        </w:rPr>
        <w:t xml:space="preserve">, предусмотренным действующим законодательством РФ.</w:t>
      </w:r>
    </w:p>
    <w:p>
      <w:pPr>
        <w:keepNext/>
        <w:numPr>
          <w:numId w:val="3"/>
          <w:ilvl w:val="0"/>
        </w:numPr>
        <w:spacing w:before="240" w:after="240" w:line="216" w:lineRule="auto"/>
        <w:jc w:val="center"/>
        <w:outlineLvl w:val="1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РАЗРЕШЕНИЕ СПОРОВ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Стороны при урегулировании разногласий используют претензионный порядок. Претензии рассматриваются, и ответ на них направляется Стороне, предъявившей их, в течение 15 (пятнадцати) календ</w:t>
      </w:r>
      <w:r>
        <w:rPr>
          <w:rFonts w:cs="Calibri"/>
          <w:sz w:val="24"/>
          <w:szCs w:val="24"/>
        </w:rPr>
        <w:t xml:space="preserve">арных дней со дня их поступления.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Споры, не урегулированные путём переговоров, передаются на рассмотрение суда в порядке, предусмотренном действующим законодательством РФ.</w:t>
      </w:r>
    </w:p>
    <w:p>
      <w:pPr>
        <w:keepNext/>
        <w:numPr>
          <w:numId w:val="3"/>
          <w:ilvl w:val="0"/>
        </w:numPr>
        <w:spacing w:before="240" w:after="240" w:line="216" w:lineRule="auto"/>
        <w:jc w:val="center"/>
        <w:outlineLvl w:val="1"/>
        <w:rPr>
          <w:b/>
          <w:caps/>
          <w:sz w:val="24"/>
          <w:szCs w:val="24"/>
        </w:rPr>
      </w:pPr>
      <w:r>
        <w:rPr>
          <w:b/>
          <w:bCs/>
          <w:sz w:val="24"/>
          <w:szCs w:val="24"/>
        </w:rPr>
        <w:t xml:space="preserve">КОНФИДЕНЦИАЛЬНОСТЬ</w:t>
      </w:r>
    </w:p>
    <w:p>
      <w:pPr>
        <w:pStyle w:val="afb"/>
        <w:numPr>
          <w:numId w:val="3"/>
          <w:ilvl w:val="1"/>
        </w:numPr>
        <w:tabs>
          <w:tab w:val="left" w:pos="0"/>
          <w:tab w:val="left" w:pos="1620"/>
        </w:tabs>
        <w:spacing w:before="120" w:line="21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 Конфиденциальной информацией в Договоре понимается информация</w:t>
      </w:r>
      <w:r>
        <w:rPr>
          <w:bCs/>
          <w:sz w:val="24"/>
          <w:szCs w:val="24"/>
        </w:rPr>
        <w:t xml:space="preserve">, полученная Сторонами друг от друга в письменном, электронном или любом другом виде, в том числе относящаяся к хозяйственно-коммерческой деятельности или техническим возможностям Сторон, к изделиям, услугам, фактическим и аналитическим данным, заключениям</w:t>
      </w:r>
      <w:r>
        <w:rPr>
          <w:bCs/>
          <w:sz w:val="24"/>
          <w:szCs w:val="24"/>
        </w:rPr>
        <w:t xml:space="preserve"> и иным сведениям, а также персональные данные (за исключением общедоступных), элементы новейших технических решений (ноу-хау), включая, но не ограничиваясь этим, заметки, документация и переписка, при условии, что любая из сторон в соответствующем сопрово</w:t>
      </w:r>
      <w:r>
        <w:rPr>
          <w:bCs/>
          <w:sz w:val="24"/>
          <w:szCs w:val="24"/>
        </w:rPr>
        <w:t xml:space="preserve">дительном письме или путем проставления на материальном носителе соответствующего грифа ограничения доступа («Коммерческая тайна» или «Конфиденциально») прямо укажет на то, что в конкретном случае передаваемая информация является конфиденциальной, за исклю</w:t>
      </w:r>
      <w:r>
        <w:rPr>
          <w:bCs/>
          <w:sz w:val="24"/>
          <w:szCs w:val="24"/>
        </w:rPr>
        <w:t xml:space="preserve">чением информации, которая в соответствии с действующим законодательством и иными правовыми актами Российской Федерации не может быть отнесена к сведениям конфиденциального характера.</w:t>
      </w:r>
    </w:p>
    <w:p>
      <w:pPr>
        <w:pStyle w:val="afb"/>
        <w:numPr>
          <w:numId w:val="3"/>
          <w:ilvl w:val="1"/>
        </w:numPr>
        <w:tabs>
          <w:tab w:val="left" w:pos="0"/>
          <w:tab w:val="left" w:pos="1620"/>
        </w:tabs>
        <w:spacing w:before="120" w:line="21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обязуются обеспечить надлежащую охрану всей Конфиденциальной инф</w:t>
      </w:r>
      <w:r>
        <w:rPr>
          <w:bCs/>
          <w:sz w:val="24"/>
          <w:szCs w:val="24"/>
        </w:rPr>
        <w:t xml:space="preserve">ормации, предоставленной друг другу по Договору, и обязуются не раскрывать ее любым другим лицам, за исключением случаев, когда обязанность такого раскрытия установлена требованиями закона, судебным решением, вступившим в законную силу, либо, когда возможн</w:t>
      </w:r>
      <w:r>
        <w:rPr>
          <w:bCs/>
          <w:sz w:val="24"/>
          <w:szCs w:val="24"/>
        </w:rPr>
        <w:t xml:space="preserve">ость такого раскрытия предоставлена другой Стороной.</w:t>
      </w:r>
    </w:p>
    <w:p>
      <w:pPr>
        <w:pStyle w:val="afb"/>
        <w:numPr>
          <w:numId w:val="3"/>
          <w:ilvl w:val="1"/>
        </w:numPr>
        <w:tabs>
          <w:tab w:val="left" w:pos="0"/>
          <w:tab w:val="left" w:pos="1620"/>
        </w:tabs>
        <w:spacing w:after="0" w:line="21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Конфиденциальная информация, запрашиваемая уполномоченными на то государственными органами в пределах их компетенции, может быть предоставлена им на основании мотивированного требования, содержащего, в т</w:t>
      </w:r>
      <w:r>
        <w:rPr>
          <w:bCs/>
          <w:sz w:val="24"/>
          <w:szCs w:val="24"/>
        </w:rPr>
        <w:t xml:space="preserve">ом числе цели и правовые основания затребования такой информации. Сторона, предоставившая полученную от другой Стороны Договора Конфиденциальную информацию, обязана в течение 3 (трех) рабочих дней с даты предоставления информации государственному органу ув</w:t>
      </w:r>
      <w:r>
        <w:rPr>
          <w:bCs/>
          <w:sz w:val="24"/>
          <w:szCs w:val="24"/>
        </w:rPr>
        <w:t xml:space="preserve">едомить Сторону, раскрывшую Конфиденциальную информацию, о факте предоставления Конфиденциальной информации.</w:t>
      </w:r>
    </w:p>
    <w:p>
      <w:pPr>
        <w:tabs>
          <w:tab w:val="left" w:pos="0"/>
          <w:tab w:val="left" w:pos="1620"/>
        </w:tabs>
        <w:spacing w:after="0" w:line="216" w:lineRule="auto"/>
        <w:ind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Уведомление должно быть представлено в письменном виде и содержать указание на конкретное положение нормативного правового акта (актов), в силу кот</w:t>
      </w:r>
      <w:r>
        <w:rPr>
          <w:bCs/>
          <w:sz w:val="24"/>
          <w:szCs w:val="24"/>
        </w:rPr>
        <w:t xml:space="preserve">орого (которых) возникла обязанность представить информацию, а также характеристики предоставленной информации.</w:t>
      </w:r>
    </w:p>
    <w:p>
      <w:pPr>
        <w:pStyle w:val="afb"/>
        <w:numPr>
          <w:numId w:val="3"/>
          <w:ilvl w:val="1"/>
        </w:numPr>
        <w:tabs>
          <w:tab w:val="left" w:pos="0"/>
          <w:tab w:val="left" w:pos="1620"/>
        </w:tabs>
        <w:spacing w:before="120" w:line="21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Конфиденциальная информация не подлежит разглашению или распространению без письменного согласия Сторон, как в течение всего срока действия настоящего Договора, так и в течение 5 (пяти) лет после истечения срока его действия.</w:t>
      </w:r>
    </w:p>
    <w:p>
      <w:pPr>
        <w:pStyle w:val="afb"/>
        <w:numPr>
          <w:numId w:val="3"/>
          <w:ilvl w:val="1"/>
        </w:numPr>
        <w:tabs>
          <w:tab w:val="left" w:pos="0"/>
          <w:tab w:val="left" w:pos="1620"/>
        </w:tabs>
        <w:spacing w:before="120" w:line="21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несут ответственность </w:t>
      </w:r>
      <w:r>
        <w:rPr>
          <w:bCs/>
          <w:sz w:val="24"/>
          <w:szCs w:val="24"/>
        </w:rPr>
        <w:t xml:space="preserve">за действия всех своих представителей (в том числе работников), приведшие к разглашению Конфиденциальной информации. </w:t>
      </w:r>
    </w:p>
    <w:p>
      <w:pPr>
        <w:pStyle w:val="afb"/>
        <w:numPr>
          <w:numId w:val="3"/>
          <w:ilvl w:val="1"/>
        </w:numPr>
        <w:tabs>
          <w:tab w:val="left" w:pos="0"/>
          <w:tab w:val="left" w:pos="1620"/>
        </w:tabs>
        <w:spacing w:before="120" w:line="21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разглашения одной из Сторон Конфиденциальной информации третьим лицам без получения письменного разрешения от другой Стороны на т</w:t>
      </w:r>
      <w:r>
        <w:rPr>
          <w:bCs/>
          <w:sz w:val="24"/>
          <w:szCs w:val="24"/>
        </w:rPr>
        <w:t xml:space="preserve">акое разглашение, за исключением случаев, предусмотренных законодательством Российской Федерации, Сторона, допустившая разглашение информации, обязана возместить другой Стороне причиненные убытки. </w:t>
      </w:r>
    </w:p>
    <w:p>
      <w:pPr>
        <w:pStyle w:val="afb"/>
        <w:numPr>
          <w:numId w:val="3"/>
          <w:ilvl w:val="1"/>
        </w:numPr>
        <w:tabs>
          <w:tab w:val="left" w:pos="0"/>
          <w:tab w:val="left" w:pos="1620"/>
        </w:tabs>
        <w:spacing w:before="120" w:line="21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Договора обязана в течение 3 (трёх) рабочих дней с</w:t>
      </w:r>
      <w:r>
        <w:rPr>
          <w:bCs/>
          <w:sz w:val="24"/>
          <w:szCs w:val="24"/>
        </w:rPr>
        <w:t xml:space="preserve">ообщить другой Стороне о допущенном ею, либо ставшем известном ей факте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>
      <w:pPr>
        <w:pStyle w:val="afb"/>
        <w:numPr>
          <w:numId w:val="3"/>
          <w:ilvl w:val="1"/>
        </w:numPr>
        <w:tabs>
          <w:tab w:val="left" w:pos="0"/>
          <w:tab w:val="left" w:pos="1620"/>
        </w:tabs>
        <w:spacing w:before="120" w:line="216" w:lineRule="auto"/>
        <w:contextualSpacing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привлекающая для исполнения обязательств по </w:t>
      </w:r>
      <w:r>
        <w:rPr>
          <w:bCs/>
          <w:sz w:val="24"/>
          <w:szCs w:val="24"/>
        </w:rPr>
        <w:t xml:space="preserve">Договору третьих лиц, обязуется обеспечить соблюдение третьими лицами условий конфиденциальности информации, определённых в Договоре и обязуется включить в договор с третьими лицами аналогичные требования.</w:t>
      </w:r>
    </w:p>
    <w:p>
      <w:pPr>
        <w:pStyle w:val="afb"/>
        <w:keepNext/>
        <w:numPr>
          <w:numId w:val="3"/>
          <w:ilvl w:val="0"/>
        </w:numPr>
        <w:spacing w:before="240" w:after="240" w:line="216" w:lineRule="auto"/>
        <w:contextualSpacing w:val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АНТИКОРРУПЦИОННАЯ ОГОВОРКА</w:t>
      </w:r>
    </w:p>
    <w:p>
      <w:pPr>
        <w:pStyle w:val="afb"/>
        <w:numPr>
          <w:numId w:val="3"/>
          <w:ilvl w:val="1"/>
        </w:numPr>
        <w:spacing w:after="0" w:line="21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исполнении настояще</w:t>
      </w:r>
      <w:r>
        <w:rPr>
          <w:sz w:val="24"/>
          <w:szCs w:val="24"/>
        </w:rPr>
        <w:t xml:space="preserve">го Договора Стороны обязуются придерживаться следующих антикоррупционных условий:</w:t>
      </w:r>
    </w:p>
    <w:p>
      <w:pPr>
        <w:spacing w:after="0" w:line="21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соблюдать и обеспечивать соблюдение своими работниками и аффилированными лицами требований применимого законодательства; </w:t>
      </w:r>
    </w:p>
    <w:p>
      <w:pPr>
        <w:spacing w:after="0" w:line="21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не совершать действия, квалифицируемые законодат</w:t>
      </w:r>
      <w:r>
        <w:rPr>
          <w:sz w:val="24"/>
          <w:szCs w:val="24"/>
        </w:rPr>
        <w:t xml:space="preserve">ельством как коррупционные правонарушения, например, дача и получение взятки (передача/выплата/получение Стороной, её работниками или аффилированными лицами денежных средств или ценностей, прямо или косвенно, любым лицам/от любых лиц для оказания влияния н</w:t>
      </w:r>
      <w:r>
        <w:rPr>
          <w:sz w:val="24"/>
          <w:szCs w:val="24"/>
        </w:rPr>
        <w:t xml:space="preserve">а действия или решения с целью получения каких-либо неправомерных преимуществ или для достижения неправомерных целей), посредничество во взяточничестве; коммерческий подкуп; незаконное вознаграждение от имени юридического лица; действия, нарушающие требова</w:t>
      </w:r>
      <w:r>
        <w:rPr>
          <w:sz w:val="24"/>
          <w:szCs w:val="24"/>
        </w:rPr>
        <w:t xml:space="preserve">ния о противодействии легализации (отмыванию) доходов, полученных преступным путём, а также принимать все разумные меры, направленные на недопущение совершения таких действий своими работниками и аффилированными лицами.</w:t>
      </w:r>
    </w:p>
    <w:p>
      <w:pPr>
        <w:pStyle w:val="afb"/>
        <w:numPr>
          <w:numId w:val="3"/>
          <w:ilvl w:val="1"/>
        </w:numPr>
        <w:spacing w:after="0" w:line="21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возникновения у Стороны пре</w:t>
      </w:r>
      <w:r>
        <w:rPr>
          <w:sz w:val="24"/>
          <w:szCs w:val="24"/>
        </w:rPr>
        <w:t xml:space="preserve">дположения, что произошло или может произойти нарушение каких-либо антикоррупционных условий, предусмотренных пунктом 9.1, соответствующая Сторона обязуется уведомить другую Сторону в письменной форме (с приложением подтверждающих материалов – при их налич</w:t>
      </w:r>
      <w:r>
        <w:rPr>
          <w:sz w:val="24"/>
          <w:szCs w:val="24"/>
        </w:rPr>
        <w:t xml:space="preserve">ии). </w:t>
      </w:r>
    </w:p>
    <w:p>
      <w:pPr>
        <w:spacing w:after="0" w:line="21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получившая уведомление о нарушении, обязана рассмотреть уведомление и сообщить другой Стороне об итогах его рассмотрения в течение 10 (десяти) календарных дней с даты получения письменного уведомления.</w:t>
      </w:r>
    </w:p>
    <w:p>
      <w:pPr>
        <w:spacing w:after="0" w:line="21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Кроме того, в целях организации взаимод</w:t>
      </w:r>
      <w:r>
        <w:rPr>
          <w:sz w:val="24"/>
          <w:szCs w:val="24"/>
        </w:rPr>
        <w:t xml:space="preserve">ействия по исполнению антикоррупционных условий Стороны определили контактные данные для обмена/представления информации, указанные в статье 13 настоящего Договора.</w:t>
      </w:r>
    </w:p>
    <w:p>
      <w:pPr>
        <w:pStyle w:val="afb"/>
        <w:numPr>
          <w:numId w:val="3"/>
          <w:ilvl w:val="1"/>
        </w:numPr>
        <w:spacing w:after="0" w:line="21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гарантируют осуществление надлежащего разбирательства по фактам нарушения антикорру</w:t>
      </w:r>
      <w:r>
        <w:rPr>
          <w:sz w:val="24"/>
          <w:szCs w:val="24"/>
        </w:rPr>
        <w:t xml:space="preserve">пционных условий, предусмотренных пунктом 9.1, с соблюдением принципов конфиденциальности и применением эффективных мер по предотвращению возможных конфликтных ситуаций. </w:t>
      </w:r>
    </w:p>
    <w:p>
      <w:pPr>
        <w:pStyle w:val="afb"/>
        <w:numPr>
          <w:numId w:val="3"/>
          <w:ilvl w:val="1"/>
        </w:numPr>
        <w:spacing w:after="0" w:line="21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подтверждения факта нарушения Покупателем антикоррупционных условий, предусм</w:t>
      </w:r>
      <w:r>
        <w:rPr>
          <w:sz w:val="24"/>
          <w:szCs w:val="24"/>
        </w:rPr>
        <w:t xml:space="preserve">отренных пунктом 9.1, и/или неполучения Покупателем информации об итогах рассмотрения уведомления в соответствии с пунктом 9.2, Продавец имеет право расторгнуть настоящий Договор в одностороннем порядке путём направления Покупателю письменного уведомления </w:t>
      </w:r>
      <w:r>
        <w:rPr>
          <w:sz w:val="24"/>
          <w:szCs w:val="24"/>
        </w:rPr>
        <w:t xml:space="preserve">не позднее чем за 30 (тридцать) календарных дней до предполагаемой даты расторжения Договора, а также потребовать от Покупателя возмещения убытков, причинённых расторжением Договора. Срок для возмещения убытков составляет 20 (двадцать) календарных дней от </w:t>
      </w:r>
      <w:r>
        <w:rPr>
          <w:sz w:val="24"/>
          <w:szCs w:val="24"/>
        </w:rPr>
        <w:t xml:space="preserve">даты получения Покупателем соответствующего требования Продавца, по инициативе которого был расторгнут настоящий Договор.</w:t>
      </w:r>
    </w:p>
    <w:p>
      <w:pPr>
        <w:pStyle w:val="afb"/>
        <w:keepNext/>
        <w:widowControl w:val="off"/>
        <w:numPr>
          <w:numId w:val="3"/>
          <w:ilvl w:val="0"/>
        </w:numPr>
        <w:spacing w:before="240" w:after="240" w:line="216" w:lineRule="auto"/>
        <w:contextualSpacing w:val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МЕРЫ ПО ПРОТИВОДЕЙСТВИЮ КОРРУПЦИИ</w:t>
      </w:r>
    </w:p>
    <w:p>
      <w:pPr>
        <w:pStyle w:val="afb"/>
        <w:widowControl w:val="off"/>
        <w:numPr>
          <w:numId w:val="3"/>
          <w:ilvl w:val="1"/>
        </w:numPr>
        <w:spacing w:after="0" w:line="21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исполнении своих обязательств по Договору Стороны обязуются не осуществлять действия, нарушающие требования международного и российского антикоррупционного законодательства. </w:t>
      </w:r>
    </w:p>
    <w:p>
      <w:pPr>
        <w:pStyle w:val="afb"/>
        <w:widowControl w:val="off"/>
        <w:numPr>
          <w:numId w:val="3"/>
          <w:ilvl w:val="1"/>
        </w:numPr>
        <w:spacing w:after="0" w:line="21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отказываются от стимулирования (предоставления денежного вознагражден</w:t>
      </w:r>
      <w:r>
        <w:rPr>
          <w:sz w:val="24"/>
          <w:szCs w:val="24"/>
        </w:rPr>
        <w:t xml:space="preserve">ия, подарков, услуг, оплаты развлечений и отдыха и любых других выгод) работников другой Стороны, способных повлиять на беспристрастность и независимость действий или решений Сторон при исполнении обязательств по Договору.</w:t>
      </w:r>
    </w:p>
    <w:p>
      <w:pPr>
        <w:pStyle w:val="afb"/>
        <w:widowControl w:val="off"/>
        <w:numPr>
          <w:numId w:val="3"/>
          <w:ilvl w:val="1"/>
        </w:numPr>
        <w:tabs>
          <w:tab w:val="num" w:pos="1080"/>
        </w:tabs>
        <w:spacing w:after="0" w:line="21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возникновения у Стороны </w:t>
      </w:r>
      <w:r>
        <w:rPr>
          <w:sz w:val="24"/>
          <w:szCs w:val="24"/>
        </w:rPr>
        <w:t xml:space="preserve">достаточных оснований предполагать нарушение при исполнении обязательств по настоящему Договору требований международного и российского антикоррупционного законодательства эта Сторона обязуется уведомить о таких нарушениях другую Сторону путём направления </w:t>
      </w:r>
      <w:r>
        <w:rPr>
          <w:sz w:val="24"/>
          <w:szCs w:val="24"/>
        </w:rPr>
        <w:t xml:space="preserve">ей письменного уведомления с приложением подтверждающих эти нарушения материалов. Сторона, получившая указанное в настоящем пункте уведомление, вправе дополнительно запросить все необходимые сведения для проверки полученной информации, а другая Сторона обя</w:t>
      </w:r>
      <w:r>
        <w:rPr>
          <w:sz w:val="24"/>
          <w:szCs w:val="24"/>
        </w:rPr>
        <w:t xml:space="preserve">зана предоставить их в течение трёх рабочих дней с даты получения такого уведомления.</w:t>
      </w:r>
    </w:p>
    <w:p>
      <w:pPr>
        <w:pStyle w:val="afb"/>
        <w:numPr>
          <w:numId w:val="3"/>
          <w:ilvl w:val="1"/>
        </w:numPr>
        <w:spacing w:after="0" w:line="21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обязуются оказывать друг другу взаимное содействие в целях исключения коррупционных действий при исполнении обязательств по Договору. Стороны гарантируют осуществ</w:t>
      </w:r>
      <w:r>
        <w:rPr>
          <w:sz w:val="24"/>
          <w:szCs w:val="24"/>
        </w:rPr>
        <w:t xml:space="preserve">ление (с соблюдением условий конфиденциальности) надлежащего разбирательства по предоставленной в рамках исполнения настоящего Договора информации о коррупционных действиях. Стороны гарантируют отсутствие негативных последствий для конкретных работников об</w:t>
      </w:r>
      <w:r>
        <w:rPr>
          <w:sz w:val="24"/>
          <w:szCs w:val="24"/>
        </w:rPr>
        <w:t xml:space="preserve">ращающейся Стороны, сообщивших о фактах неисполнения мер по противодействию коррупции.</w:t>
      </w:r>
    </w:p>
    <w:p>
      <w:pPr>
        <w:keepNext/>
        <w:numPr>
          <w:numId w:val="3"/>
          <w:ilvl w:val="0"/>
        </w:numPr>
        <w:spacing w:before="240" w:after="240" w:line="216" w:lineRule="auto"/>
        <w:jc w:val="center"/>
        <w:outlineLvl w:val="1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ЗАКЛЮЧИТЕЛЬНЫЕ ПОЛОЖЕНИЯ</w:t>
      </w:r>
    </w:p>
    <w:p>
      <w:pPr>
        <w:numPr>
          <w:numId w:val="3"/>
          <w:ilvl w:val="1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Договор составлен в двух экземплярах, по одному для каждой из Сторон.</w:t>
      </w:r>
    </w:p>
    <w:p>
      <w:pPr>
        <w:numPr>
          <w:numId w:val="3"/>
          <w:ilvl w:val="1"/>
        </w:numPr>
        <w:spacing w:after="0" w:line="21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Покупатель обязан предоставить письменную информацию о признании или не пр</w:t>
      </w:r>
      <w:r>
        <w:rPr>
          <w:sz w:val="24"/>
          <w:szCs w:val="24"/>
          <w:lang w:eastAsia="ar-SA"/>
        </w:rPr>
        <w:t xml:space="preserve">изнании себя связанной стороной ПАО «НМТП», а также своевременно информировать ПАО «НМТП» в письменном виде о наступлении, изменении или прекращении условий, дающих основания считать такого Покупателя связанной стороной по признакам, определённым Регламент</w:t>
      </w:r>
      <w:r>
        <w:rPr>
          <w:sz w:val="24"/>
          <w:szCs w:val="24"/>
          <w:lang w:eastAsia="ar-SA"/>
        </w:rPr>
        <w:t xml:space="preserve">ом определения связанных сторон ПАО «НМТП» (размещён на сайте ПАО «НМТП», адрес: www.ncsp.</w:t>
      </w:r>
      <w:r>
        <w:rPr>
          <w:sz w:val="24"/>
          <w:szCs w:val="24"/>
          <w:lang w:val="en-US" w:eastAsia="ar-SA"/>
        </w:rPr>
        <w:t xml:space="preserve">ru</w:t>
      </w:r>
      <w:r>
        <w:rPr>
          <w:sz w:val="24"/>
          <w:szCs w:val="24"/>
          <w:lang w:eastAsia="ar-SA"/>
        </w:rPr>
        <w:t xml:space="preserve">).</w:t>
      </w:r>
    </w:p>
    <w:p>
      <w:pPr>
        <w:pStyle w:val="afb"/>
        <w:numPr>
          <w:numId w:val="3"/>
          <w:ilvl w:val="1"/>
        </w:numPr>
        <w:spacing w:after="0" w:line="21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Покупатель обязан дать письменное согласие Продавцу на обработку и раскрытие полученных от него данных в соответствии с Международными стандартами финансовой отч</w:t>
      </w:r>
      <w:r>
        <w:rPr>
          <w:sz w:val="24"/>
          <w:szCs w:val="24"/>
          <w:lang w:eastAsia="ar-SA"/>
        </w:rPr>
        <w:t xml:space="preserve">ётности, а также информировать Продавца об изменениях, касающихся условий связанности сторон.</w:t>
      </w:r>
    </w:p>
    <w:p>
      <w:pPr>
        <w:pStyle w:val="af5"/>
        <w:numPr>
          <w:numId w:val="3"/>
          <w:ilvl w:val="1"/>
        </w:numPr>
        <w:spacing w:after="0" w:line="21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Приложением № 2, Покупатель информирует Продавца о том, что был ознакомлен с принятым в ПАО «НМТП» Регламентом определения связанных сторон ПАО «</w:t>
      </w:r>
      <w:r>
        <w:rPr>
          <w:sz w:val="24"/>
          <w:szCs w:val="24"/>
        </w:rPr>
        <w:t xml:space="preserve">НМТП» и сообщает информацию в соответствии с таблицей Приложения № 2».</w:t>
      </w:r>
    </w:p>
    <w:p>
      <w:pPr>
        <w:keepNext/>
        <w:numPr>
          <w:numId w:val="3"/>
          <w:ilvl w:val="0"/>
        </w:numPr>
        <w:spacing w:before="240" w:after="240" w:line="216" w:lineRule="auto"/>
        <w:jc w:val="center"/>
        <w:outlineLvl w:val="1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ПРИЛОЖЕНИЯ К ДОГОВОРУ:</w:t>
      </w:r>
    </w:p>
    <w:p>
      <w:pPr>
        <w:spacing w:after="0" w:line="21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1 Спецификация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реализуемого Товара.</w:t>
      </w:r>
    </w:p>
    <w:p>
      <w:pPr>
        <w:spacing w:after="0" w:line="21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2 Уведомление </w:t>
      </w:r>
      <w:r>
        <w:rPr>
          <w:rFonts w:eastAsia="Calibri"/>
          <w:sz w:val="24"/>
          <w:szCs w:val="24"/>
          <w:lang w:eastAsia="en-US"/>
        </w:rPr>
        <w:t xml:space="preserve">о связанности (не связанности) сторон</w:t>
      </w:r>
      <w:r>
        <w:rPr>
          <w:sz w:val="24"/>
          <w:szCs w:val="24"/>
        </w:rPr>
        <w:t xml:space="preserve">.</w:t>
      </w:r>
    </w:p>
    <w:p>
      <w:pPr>
        <w:keepNext/>
        <w:numPr>
          <w:numId w:val="3"/>
          <w:ilvl w:val="0"/>
        </w:numPr>
        <w:spacing w:before="240" w:after="240" w:line="216" w:lineRule="auto"/>
        <w:jc w:val="center"/>
        <w:outlineLvl w:val="1"/>
        <w:rPr>
          <w:b/>
          <w:caps/>
          <w:sz w:val="24"/>
          <w:szCs w:val="24"/>
          <w:lang w:eastAsia="ar-SA"/>
        </w:rPr>
      </w:pPr>
      <w:r>
        <w:rPr>
          <w:b/>
          <w:caps/>
          <w:sz w:val="24"/>
          <w:szCs w:val="24"/>
        </w:rPr>
        <w:t xml:space="preserve">АДРЕСА, РЕКВИЗИТЫ И ПОДПИСИ СТОРОН.</w:t>
      </w:r>
    </w:p>
    <w:tbl>
      <w:tblPr>
        <w:tblStyle w:val="afe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shd w:val="clear" w:color="ffffff" w:fill="ffffff"/>
        <w:tblLayout w:type="fixed"/>
        <w:tblLook w:val="04A0" w:firstRow="1" w:lastRow="0" w:firstColumn="1" w:lastColumn="0" w:noHBand="0" w:noVBand="1"/>
      </w:tblPr>
      <w:tblGrid>
        <w:gridCol w:w="4677"/>
        <w:gridCol w:w="4961"/>
      </w:tblGrid>
      <w:tr>
        <w:trPr>
          <w:trHeight w:val="4665"/>
        </w:trPr>
        <w:tc>
          <w:tcPr>
            <w:tcW w:w="4677" w:type="dxa"/>
            <w:shd w:val="clear" w:color="ffffff" w:fill="ffffff"/>
          </w:tcPr>
          <w:p>
            <w:pPr>
              <w:spacing w:after="0" w:line="21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Продавец</w:t>
            </w:r>
          </w:p>
          <w:p>
            <w:pPr>
              <w:spacing w:after="0" w:line="21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ПА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О «НМТП»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юридического лица 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 соответствии с ЕГРЮЛ): 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353900, Краснодарский край,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г. Новороссийск, ул. Портовая, д. 14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Адрес для направления корреспонденции: 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353900, Краснодарский край,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г. Новороссийск, ул. Мира, д. 2,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первый подъезд, канцелярия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ИНН – 2315004404, КПП – 997650001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ОКПО – 01125867, ОКВЭД – 52.24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Тел.: +7 (8617) 60-46-76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ar-SA"/>
              </w:rPr>
              <w:t xml:space="preserve">E-</w:t>
            </w:r>
            <w:r>
              <w:rPr>
                <w:sz w:val="24"/>
                <w:szCs w:val="24"/>
                <w:lang w:eastAsia="ar-SA"/>
              </w:rPr>
              <w:t xml:space="preserve">mail</w:t>
            </w:r>
            <w:r>
              <w:rPr>
                <w:sz w:val="24"/>
                <w:szCs w:val="24"/>
                <w:lang w:eastAsia="ar-SA"/>
              </w:rPr>
              <w:t xml:space="preserve">: AChernaya@ncsp.com</w:t>
            </w:r>
          </w:p>
          <w:p>
            <w:pPr>
              <w:spacing w:after="0" w:line="21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Банковские реквизиты: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Р/С 40702810805300001864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Банк: ФИЛИАЛ БАНКА </w:t>
            </w:r>
            <w:r>
              <w:rPr>
                <w:sz w:val="24"/>
                <w:szCs w:val="24"/>
                <w:lang w:eastAsia="ru-RU"/>
              </w:rPr>
              <w:t xml:space="preserve">ВТБ  (</w:t>
            </w:r>
            <w:r>
              <w:rPr>
                <w:sz w:val="24"/>
                <w:szCs w:val="24"/>
                <w:lang w:eastAsia="ru-RU"/>
              </w:rPr>
              <w:t xml:space="preserve">ПАО) В 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Г. РОСТОВЕ-НА-ДОНУ</w:t>
            </w:r>
          </w:p>
          <w:p>
            <w:pPr>
              <w:spacing w:after="0" w:line="216" w:lineRule="auto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4"/>
                <w:szCs w:val="24"/>
                <w:lang w:eastAsia="ru-RU"/>
              </w:rPr>
              <w:t xml:space="preserve">К/С 30101810300000000999</w:t>
            </w:r>
          </w:p>
          <w:p>
            <w:pPr>
              <w:spacing w:after="0" w:line="216" w:lineRule="auto"/>
              <w:jc w:val="both"/>
              <w:rPr>
                <w:sz w:val="20"/>
                <w:szCs w:val="20"/>
              </w:rPr>
            </w:pPr>
            <w:r>
              <w:rPr>
                <w:sz w:val="24"/>
                <w:szCs w:val="24"/>
                <w:lang w:eastAsia="ru-RU"/>
              </w:rPr>
              <w:t xml:space="preserve">БИК 046015999</w:t>
            </w:r>
          </w:p>
        </w:tc>
        <w:tc>
          <w:tcPr>
            <w:tcW w:w="4961" w:type="dxa"/>
            <w:shd w:val="clear" w:color="ffffff" w:fill="ffffff"/>
          </w:tcPr>
          <w:p>
            <w:pPr>
              <w:spacing w:after="0" w:line="21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</w:t>
            </w:r>
            <w:r>
              <w:rPr>
                <w:b/>
                <w:bCs/>
                <w:sz w:val="24"/>
                <w:szCs w:val="24"/>
              </w:rPr>
              <w:t xml:space="preserve">окупатель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  <w:lang w:eastAsia="ar-SA"/>
              </w:rPr>
            </w:pPr>
          </w:p>
          <w:p>
            <w:pPr>
              <w:spacing w:after="0"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юридического лица 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 соответствии с ЕГРЮЛ): 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  <w:lang w:eastAsia="ar-SA"/>
              </w:rPr>
            </w:pPr>
          </w:p>
          <w:p>
            <w:pPr>
              <w:spacing w:after="0" w:line="216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Адрес для направления корреспонденции: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ИНН - 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КПП - 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ОГРН - </w:t>
            </w:r>
          </w:p>
          <w:p>
            <w:pPr>
              <w:spacing w:after="0" w:line="216" w:lineRule="auto"/>
              <w:jc w:val="both"/>
            </w:pPr>
            <w:r>
              <w:rPr>
                <w:sz w:val="24"/>
                <w:szCs w:val="24"/>
                <w:lang w:eastAsia="ar-SA"/>
              </w:rPr>
              <w:t xml:space="preserve">ОКПО - 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ОКВЭД - 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Тел.: </w:t>
            </w:r>
          </w:p>
          <w:p>
            <w:pPr>
              <w:spacing w:after="0" w:line="216" w:lineRule="auto"/>
              <w:jc w:val="both"/>
            </w:pPr>
            <w:r>
              <w:rPr>
                <w:sz w:val="24"/>
                <w:szCs w:val="24"/>
                <w:lang w:eastAsia="ar-SA"/>
              </w:rPr>
              <w:t xml:space="preserve">E-</w:t>
            </w:r>
            <w:r>
              <w:rPr>
                <w:sz w:val="24"/>
                <w:szCs w:val="24"/>
                <w:lang w:eastAsia="ar-SA"/>
              </w:rPr>
              <w:t xml:space="preserve">mail</w:t>
            </w:r>
            <w:r>
              <w:rPr>
                <w:sz w:val="24"/>
                <w:szCs w:val="24"/>
                <w:lang w:eastAsia="ar-SA"/>
              </w:rPr>
              <w:t xml:space="preserve">: </w:t>
            </w:r>
          </w:p>
          <w:p>
            <w:pPr>
              <w:spacing w:after="0" w:line="216" w:lineRule="auto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</w:p>
          <w:p>
            <w:pPr>
              <w:spacing w:after="0" w:line="216" w:lineRule="auto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Банковские реквизиты: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 xml:space="preserve">Р/С 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 xml:space="preserve">Банк: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 xml:space="preserve">БИК </w:t>
            </w:r>
          </w:p>
          <w:p>
            <w:pPr>
              <w:spacing w:after="0"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 xml:space="preserve">К/С </w:t>
            </w:r>
          </w:p>
        </w:tc>
      </w:tr>
    </w:tbl>
    <w:p>
      <w:pPr>
        <w:spacing w:after="0" w:line="216" w:lineRule="auto"/>
        <w:rPr>
          <w:sz w:val="24"/>
          <w:szCs w:val="24"/>
          <w:lang w:eastAsia="ar-SA"/>
        </w:rPr>
      </w:pPr>
    </w:p>
    <w:tbl>
      <w:tblPr>
        <w:tblW w:w="9638" w:type="dxa"/>
        <w:jc w:val="center"/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4A0" w:firstRow="1" w:lastRow="0" w:firstColumn="1" w:lastColumn="0" w:noHBand="0" w:noVBand="1"/>
      </w:tblPr>
      <w:tblGrid>
        <w:gridCol w:w="5"/>
        <w:gridCol w:w="4675"/>
        <w:gridCol w:w="4958"/>
      </w:tblGrid>
      <w:tr>
        <w:trPr>
          <w:jc w:val="center"/>
          <w:trHeight w:val="180"/>
        </w:trPr>
        <w:tc>
          <w:tcPr>
            <w:tcW w:w="4677" w:type="dxa"/>
            <w:gridSpan w:val="2"/>
            <w:shd w:val="clear" w:color="auto" w:fill="auto"/>
            <w:vAlign w:val="center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ОТ ПРОДАВЦА:</w:t>
            </w:r>
          </w:p>
        </w:tc>
        <w:tc>
          <w:tcPr>
            <w:tcW w:w="4961" w:type="dxa"/>
            <w:shd w:val="clear" w:color="auto" w:fill="auto"/>
            <w:vAlign w:val="center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ОТ ПОКУПАТЕЛЯ:</w:t>
            </w:r>
          </w:p>
        </w:tc>
      </w:tr>
      <w:tr>
        <w:trPr>
          <w:gridBefore w:val="1"/>
          <w:jc w:val="center"/>
          <w:trHeight w:val="507"/>
        </w:trPr>
        <w:tc>
          <w:tcPr>
            <w:tcW w:w="4631" w:type="dxa"/>
            <w:shd w:val="clear" w:color="auto" w:fill="auto"/>
            <w:vAlign w:val="center"/>
          </w:tcPr>
          <w:p>
            <w:pPr>
              <w:spacing w:after="0" w:line="21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ПАО «НМТП»</w:t>
            </w:r>
          </w:p>
        </w:tc>
        <w:tc>
          <w:tcPr>
            <w:tcW w:w="4961" w:type="dxa"/>
            <w:shd w:val="clear" w:color="auto" w:fill="auto"/>
            <w:vAlign w:val="center"/>
          </w:tcPr>
          <w:p/>
        </w:tc>
      </w:tr>
      <w:tr>
        <w:trPr>
          <w:gridBefore w:val="1"/>
          <w:jc w:val="center"/>
          <w:trHeight w:val="189"/>
        </w:trPr>
        <w:tc>
          <w:tcPr>
            <w:tcW w:w="4631" w:type="dxa"/>
            <w:shd w:val="clear" w:color="auto" w:fill="auto"/>
            <w:vAlign w:val="center"/>
          </w:tcPr>
          <w:p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2"/>
                <w:lang w:eastAsia="ar-SA"/>
              </w:rPr>
              <w:t xml:space="preserve">[</w:t>
            </w:r>
            <w:r>
              <w:rPr>
                <w:sz w:val="22"/>
                <w:lang w:eastAsia="ar-SA"/>
              </w:rPr>
              <w:t xml:space="preserve">должность подписывающего</w:t>
            </w:r>
            <w:r>
              <w:rPr>
                <w:sz w:val="22"/>
                <w:lang w:eastAsia="ar-SA"/>
              </w:rPr>
              <w:t xml:space="preserve">]</w:t>
            </w:r>
          </w:p>
          <w:p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2"/>
              </w:rPr>
              <w:t xml:space="preserve">_________________________</w:t>
            </w:r>
            <w:r>
              <w:rPr>
                <w:sz w:val="22"/>
              </w:rPr>
              <w:t xml:space="preserve">[</w:t>
            </w:r>
            <w:r>
              <w:rPr>
                <w:sz w:val="22"/>
              </w:rPr>
              <w:t xml:space="preserve">И.О. Фамилия</w:t>
            </w:r>
            <w:r>
              <w:rPr>
                <w:sz w:val="22"/>
              </w:rPr>
              <w:t xml:space="preserve">]</w:t>
            </w:r>
          </w:p>
        </w:tc>
        <w:tc>
          <w:tcPr>
            <w:tcW w:w="4961" w:type="dxa"/>
            <w:shd w:val="clear" w:color="auto" w:fill="auto"/>
            <w:vAlign w:val="center"/>
          </w:tcPr>
          <w:p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2"/>
                <w:lang w:eastAsia="ar-SA"/>
              </w:rPr>
              <w:t xml:space="preserve">[</w:t>
            </w:r>
            <w:r>
              <w:rPr>
                <w:sz w:val="22"/>
                <w:lang w:eastAsia="ar-SA"/>
              </w:rPr>
              <w:t xml:space="preserve">должность подписывающего</w:t>
            </w:r>
            <w:r>
              <w:rPr>
                <w:sz w:val="22"/>
                <w:lang w:eastAsia="ar-SA"/>
              </w:rPr>
              <w:t xml:space="preserve">]</w:t>
            </w:r>
          </w:p>
          <w:p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2"/>
              </w:rPr>
              <w:t xml:space="preserve">_____________________________ </w:t>
            </w:r>
            <w:r>
              <w:rPr>
                <w:sz w:val="22"/>
              </w:rPr>
              <w:t xml:space="preserve">[</w:t>
            </w:r>
            <w:r>
              <w:rPr>
                <w:sz w:val="22"/>
              </w:rPr>
              <w:t xml:space="preserve">И.О. Фамилия</w:t>
            </w:r>
            <w:r>
              <w:rPr>
                <w:sz w:val="22"/>
              </w:rPr>
              <w:t xml:space="preserve">]</w:t>
            </w:r>
          </w:p>
        </w:tc>
      </w:tr>
    </w:tbl>
    <w:p>
      <w:pPr>
        <w:keepNext/>
        <w:pageBreakBefore/>
        <w:spacing w:after="120" w:line="240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 1</w:t>
      </w:r>
      <w:r>
        <w:rPr>
          <w:b/>
          <w:sz w:val="24"/>
          <w:szCs w:val="24"/>
        </w:rPr>
        <w:br/>
        <w:t xml:space="preserve">к договору купли-продажи № НМТП  от «___» ______ 2026 г.</w:t>
      </w:r>
    </w:p>
    <w:p>
      <w:pPr>
        <w:spacing w:before="120" w:after="12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СПЕЦИФИКАЦИЯ</w:t>
      </w:r>
      <w:r>
        <w:rPr>
          <w:b/>
          <w:sz w:val="24"/>
          <w:szCs w:val="24"/>
        </w:rPr>
        <w:br/>
      </w:r>
      <w:r>
        <w:rPr>
          <w:sz w:val="24"/>
          <w:szCs w:val="24"/>
        </w:rPr>
        <w:t xml:space="preserve">реализуемого Товара</w:t>
      </w:r>
    </w:p>
    <w:tbl>
      <w:tblPr>
        <w:tblW w:w="97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000" w:firstRow="0" w:lastRow="0" w:firstColumn="0" w:lastColumn="0" w:noHBand="0" w:noVBand="0"/>
      </w:tblPr>
      <w:tblGrid>
        <w:gridCol w:w="425"/>
        <w:gridCol w:w="2410"/>
        <w:gridCol w:w="850"/>
        <w:gridCol w:w="992"/>
        <w:gridCol w:w="1417"/>
        <w:gridCol w:w="1843"/>
        <w:gridCol w:w="1771"/>
      </w:tblGrid>
      <w:tr>
        <w:trPr>
          <w:jc w:val="center"/>
          <w:trHeight w:val="20"/>
        </w:trPr>
        <w:tc>
          <w:tcPr>
            <w:tcW w:w="425" w:type="dxa"/>
            <w:noWrap/>
            <w:vAlign w:val="center"/>
          </w:tcPr>
          <w:p>
            <w:pPr>
              <w:spacing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</w:p>
        </w:tc>
        <w:tc>
          <w:tcPr>
            <w:tcW w:w="2410" w:type="dxa"/>
            <w:vAlign w:val="center"/>
          </w:tcPr>
          <w:p>
            <w:pPr>
              <w:spacing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</w:t>
            </w:r>
          </w:p>
        </w:tc>
        <w:tc>
          <w:tcPr>
            <w:tcW w:w="850" w:type="dxa"/>
            <w:noWrap/>
            <w:vAlign w:val="center"/>
          </w:tcPr>
          <w:p>
            <w:pPr>
              <w:spacing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Ед. изм.</w:t>
            </w:r>
          </w:p>
        </w:tc>
        <w:tc>
          <w:tcPr>
            <w:tcW w:w="992" w:type="dxa"/>
            <w:vAlign w:val="center"/>
          </w:tcPr>
          <w:p>
            <w:pPr>
              <w:spacing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Кол-во</w:t>
            </w:r>
          </w:p>
        </w:tc>
        <w:tc>
          <w:tcPr>
            <w:tcW w:w="1417" w:type="dxa"/>
            <w:noWrap/>
            <w:vAlign w:val="center"/>
          </w:tcPr>
          <w:p>
            <w:pPr>
              <w:spacing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Цена за ед. Товара без НДС, руб.</w:t>
            </w:r>
          </w:p>
        </w:tc>
        <w:tc>
          <w:tcPr>
            <w:tcW w:w="1843" w:type="dxa"/>
            <w:noWrap/>
            <w:vAlign w:val="center"/>
          </w:tcPr>
          <w:p>
            <w:pPr>
              <w:spacing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Сумма реализации без НДС, руб.</w:t>
            </w:r>
          </w:p>
        </w:tc>
        <w:tc>
          <w:tcPr>
            <w:tcW w:w="1771" w:type="dxa"/>
            <w:vAlign w:val="center"/>
          </w:tcPr>
          <w:p>
            <w:pPr>
              <w:spacing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Сумма реализации с НДС, руб.</w:t>
            </w:r>
          </w:p>
        </w:tc>
      </w:tr>
      <w:tr>
        <w:trPr>
          <w:jc w:val="center"/>
          <w:trHeight w:val="586"/>
        </w:trPr>
        <w:tc>
          <w:tcPr>
            <w:tcW w:w="425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</w:p>
        </w:tc>
        <w:tc>
          <w:tcPr>
            <w:tcW w:w="241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ДВЕРЬ В СБОРЕ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шт.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/>
        </w:tc>
        <w:tc>
          <w:tcPr>
            <w:tcW w:w="1843" w:type="dxa"/>
            <w:shd w:val="clear" w:color="auto" w:fill="auto"/>
            <w:noWrap/>
            <w:vAlign w:val="center"/>
          </w:tcPr>
          <w:p/>
        </w:tc>
        <w:tc>
          <w:tcPr>
            <w:tcW w:w="1771" w:type="dxa"/>
            <w:vAlign w:val="center"/>
          </w:tcPr>
          <w:p/>
        </w:tc>
      </w:tr>
      <w:tr>
        <w:trPr>
          <w:jc w:val="center"/>
          <w:trHeight w:val="310"/>
        </w:trPr>
        <w:tc>
          <w:tcPr>
            <w:tcW w:w="425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</w:p>
        </w:tc>
        <w:tc>
          <w:tcPr>
            <w:tcW w:w="2410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КРЫШКА БАГАЖНИКА</w:t>
            </w:r>
          </w:p>
        </w:tc>
        <w:tc>
          <w:tcPr>
            <w:tcW w:w="850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шт.</w:t>
            </w:r>
          </w:p>
        </w:tc>
        <w:tc>
          <w:tcPr>
            <w:tcW w:w="992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</w:p>
        </w:tc>
        <w:tc>
          <w:tcPr>
            <w:tcW w:w="1417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/>
        </w:tc>
        <w:tc>
          <w:tcPr>
            <w:tcW w:w="1843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/>
        </w:tc>
        <w:tc>
          <w:tcPr>
            <w:tcW w:w="1771" w:type="dxa"/>
            <w:tcBorders>
              <w:bottom w:val="single" w:color="000000" w:sz="4" w:space="0"/>
            </w:tcBorders>
            <w:vAlign w:val="center"/>
          </w:tcPr>
          <w:p/>
        </w:tc>
      </w:tr>
      <w:tr>
        <w:trPr>
          <w:jc w:val="center"/>
          <w:trHeight w:val="340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ФОНАРЬ ЗАДНИЙ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шт.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/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/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  <w:tr>
        <w:trPr>
          <w:jc w:val="center"/>
          <w:trHeight w:val="399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Итого: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Шт.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contextualSpacing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/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</w:tr>
    </w:tbl>
    <w:p>
      <w:pPr>
        <w:spacing w:after="0"/>
        <w:contextualSpacing/>
        <w:jc w:val="center"/>
        <w:rPr>
          <w:b/>
          <w:bCs/>
          <w:color w:val="000000"/>
          <w:sz w:val="24"/>
          <w:szCs w:val="24"/>
        </w:rPr>
      </w:pPr>
    </w:p>
    <w:p>
      <w:pPr>
        <w:spacing w:after="0"/>
        <w:contextualSpacing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Всего к оплате:</w:t>
      </w:r>
    </w:p>
    <w:p>
      <w:pPr>
        <w:widowControl w:val="off"/>
        <w:spacing w:before="120" w:after="0"/>
        <w:jc w:val="center"/>
        <w:rPr>
          <w:bCs/>
          <w:i/>
          <w:color w:val="000000"/>
          <w:sz w:val="24"/>
          <w:szCs w:val="24"/>
          <w:vertAlign w:val="superscript"/>
        </w:rPr>
      </w:pPr>
    </w:p>
    <w:p>
      <w:pPr>
        <w:widowControl w:val="off"/>
        <w:spacing w:before="120" w:after="0"/>
        <w:jc w:val="center"/>
        <w:rPr>
          <w:bCs/>
          <w:i/>
          <w:color w:val="000000"/>
          <w:sz w:val="24"/>
          <w:szCs w:val="24"/>
          <w:vertAlign w:val="superscript"/>
        </w:rPr>
      </w:pPr>
    </w:p>
    <w:p>
      <w:pPr>
        <w:widowControl w:val="off"/>
        <w:spacing w:before="120" w:after="0"/>
        <w:jc w:val="center"/>
        <w:rPr>
          <w:bCs/>
          <w:i/>
          <w:color w:val="000000"/>
          <w:sz w:val="24"/>
          <w:szCs w:val="24"/>
          <w:vertAlign w:val="superscript"/>
        </w:rPr>
      </w:pPr>
    </w:p>
    <w:tbl>
      <w:tblPr>
        <w:tblW w:w="9637" w:type="dxa"/>
        <w:jc w:val="center"/>
        <w:tblLayout w:type="fixed"/>
        <w:tblCellMar>
          <w:left w:w="23" w:type="dxa"/>
          <w:top w:w="23" w:type="dxa"/>
          <w:right w:w="23" w:type="dxa"/>
          <w:bottom w:w="23" w:type="dxa"/>
        </w:tblCellMar>
        <w:tblLook w:val="04A0" w:firstRow="1" w:lastRow="0" w:firstColumn="1" w:lastColumn="0" w:noHBand="0" w:noVBand="1"/>
      </w:tblPr>
      <w:tblGrid>
        <w:gridCol w:w="4393"/>
        <w:gridCol w:w="142"/>
        <w:gridCol w:w="5102"/>
      </w:tblGrid>
      <w:tr>
        <w:trPr>
          <w:jc w:val="center"/>
          <w:trHeight w:val="330"/>
        </w:trPr>
        <w:tc>
          <w:tcPr>
            <w:tcW w:w="4393" w:type="dxa"/>
            <w:shd w:val="clear" w:color="ffffff" w:fill="ffffff"/>
            <w:vAlign w:val="center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ОТ ПРОДАВЦА</w:t>
            </w:r>
          </w:p>
        </w:tc>
        <w:tc>
          <w:tcPr>
            <w:tcW w:w="142" w:type="dxa"/>
            <w:shd w:val="clear" w:color="ffffff" w:fill="ffffff"/>
            <w:vAlign w:val="center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5102" w:type="dxa"/>
            <w:shd w:val="clear" w:color="ffffff" w:fill="ffffff"/>
            <w:vAlign w:val="center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ОТ ПОКУПАТЕЛЯ</w:t>
            </w:r>
          </w:p>
        </w:tc>
      </w:tr>
      <w:tr>
        <w:trPr>
          <w:jc w:val="center"/>
          <w:trHeight w:val="299"/>
        </w:trPr>
        <w:tc>
          <w:tcPr>
            <w:tcW w:w="4393" w:type="dxa"/>
            <w:shd w:val="clear" w:color="ffffff" w:fill="ffffff"/>
            <w:vAlign w:val="center"/>
          </w:tcPr>
          <w:p>
            <w:pPr>
              <w:spacing w:after="0" w:line="216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val="en-US" w:eastAsia="ar-SA"/>
              </w:rPr>
              <w:t xml:space="preserve">ПАО «НМТП»</w:t>
            </w:r>
          </w:p>
        </w:tc>
        <w:tc>
          <w:tcPr>
            <w:tcW w:w="142" w:type="dxa"/>
            <w:shd w:val="clear" w:color="ffffff" w:fill="ffffff"/>
            <w:vAlign w:val="center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5102" w:type="dxa"/>
            <w:shd w:val="clear" w:color="ffffff" w:fill="ffffff"/>
            <w:vAlign w:val="center"/>
          </w:tcPr>
          <w:p/>
        </w:tc>
      </w:tr>
      <w:tr>
        <w:trPr>
          <w:jc w:val="center"/>
          <w:trHeight w:val="20"/>
        </w:trPr>
        <w:tc>
          <w:tcPr>
            <w:tcW w:w="4393" w:type="dxa"/>
            <w:shd w:val="clear" w:color="ffffff" w:fill="ffffff"/>
            <w:vAlign w:val="center"/>
          </w:tcPr>
          <w:p>
            <w:pPr>
              <w:spacing w:after="0" w:line="216" w:lineRule="auto"/>
              <w:rPr>
                <w:sz w:val="24"/>
                <w:szCs w:val="24"/>
                <w:lang w:val="en-US" w:eastAsia="ar-SA"/>
              </w:rPr>
            </w:pPr>
            <w:r>
              <w:rPr>
                <w:sz w:val="24"/>
                <w:szCs w:val="24"/>
                <w:lang w:val="en-US" w:eastAsia="ar-SA"/>
              </w:rPr>
              <w:t xml:space="preserve">[</w:t>
            </w:r>
            <w:r>
              <w:rPr>
                <w:sz w:val="24"/>
                <w:szCs w:val="24"/>
                <w:lang w:eastAsia="ar-SA"/>
              </w:rPr>
              <w:t xml:space="preserve">должность подписывающего</w:t>
            </w:r>
            <w:r>
              <w:rPr>
                <w:sz w:val="24"/>
                <w:szCs w:val="24"/>
                <w:lang w:val="en-US" w:eastAsia="ar-SA"/>
              </w:rPr>
              <w:t xml:space="preserve">]</w:t>
            </w:r>
          </w:p>
          <w:p/>
        </w:tc>
        <w:tc>
          <w:tcPr>
            <w:tcW w:w="142" w:type="dxa"/>
            <w:shd w:val="clear" w:color="ffffff" w:fill="ffffff"/>
            <w:vAlign w:val="center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5102" w:type="dxa"/>
            <w:shd w:val="clear" w:color="ffffff" w:fill="ffffff"/>
            <w:vAlign w:val="center"/>
          </w:tcPr>
          <w:p>
            <w:pPr>
              <w:spacing w:after="0" w:line="216" w:lineRule="auto"/>
              <w:rPr>
                <w:sz w:val="24"/>
                <w:szCs w:val="24"/>
                <w:lang w:val="en-US" w:eastAsia="ar-SA"/>
              </w:rPr>
            </w:pPr>
            <w:r>
              <w:rPr>
                <w:sz w:val="24"/>
                <w:szCs w:val="24"/>
                <w:lang w:val="en-US" w:eastAsia="ar-SA"/>
              </w:rPr>
              <w:t xml:space="preserve">[</w:t>
            </w:r>
            <w:r>
              <w:rPr>
                <w:sz w:val="24"/>
                <w:szCs w:val="24"/>
                <w:lang w:eastAsia="ar-SA"/>
              </w:rPr>
              <w:t xml:space="preserve">должность подписывающего</w:t>
            </w:r>
            <w:r>
              <w:rPr>
                <w:sz w:val="24"/>
                <w:szCs w:val="24"/>
                <w:lang w:val="en-US" w:eastAsia="ar-SA"/>
              </w:rPr>
              <w:t xml:space="preserve">]</w:t>
            </w:r>
          </w:p>
          <w:p>
            <w:pPr>
              <w:spacing w:after="0" w:line="216" w:lineRule="auto"/>
              <w:rPr>
                <w:sz w:val="24"/>
                <w:szCs w:val="24"/>
              </w:rPr>
            </w:pPr>
          </w:p>
        </w:tc>
      </w:tr>
      <w:tr>
        <w:trPr>
          <w:jc w:val="center"/>
          <w:trHeight w:val="20"/>
        </w:trPr>
        <w:tc>
          <w:tcPr>
            <w:tcW w:w="4393" w:type="dxa"/>
            <w:shd w:val="clear" w:color="ffffff" w:fill="ffffff"/>
            <w:vAlign w:val="center"/>
          </w:tcPr>
          <w:p>
            <w:pPr>
              <w:spacing w:after="0" w:line="216" w:lineRule="auto"/>
              <w:rPr>
                <w:sz w:val="24"/>
                <w:szCs w:val="24"/>
                <w:lang w:val="en-US" w:eastAsia="ar-SA"/>
              </w:rPr>
            </w:pPr>
            <w:r>
              <w:rPr>
                <w:sz w:val="24"/>
                <w:szCs w:val="24"/>
              </w:rPr>
              <w:t xml:space="preserve">_______________________</w:t>
            </w:r>
            <w:r>
              <w:rPr>
                <w:sz w:val="24"/>
                <w:szCs w:val="24"/>
                <w:lang w:val="en-US"/>
              </w:rPr>
              <w:t xml:space="preserve">[</w:t>
            </w:r>
            <w:r>
              <w:rPr>
                <w:sz w:val="24"/>
                <w:szCs w:val="24"/>
              </w:rPr>
              <w:t xml:space="preserve">И.О. Фамилия</w:t>
            </w:r>
            <w:r>
              <w:rPr>
                <w:sz w:val="24"/>
                <w:szCs w:val="24"/>
                <w:lang w:val="en-US"/>
              </w:rPr>
              <w:t xml:space="preserve">]</w:t>
            </w:r>
          </w:p>
        </w:tc>
        <w:tc>
          <w:tcPr>
            <w:tcW w:w="142" w:type="dxa"/>
            <w:shd w:val="clear" w:color="ffffff" w:fill="ffffff"/>
            <w:vAlign w:val="center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5102" w:type="dxa"/>
            <w:shd w:val="clear" w:color="ffffff" w:fill="ffffff"/>
            <w:vAlign w:val="center"/>
          </w:tcPr>
          <w:p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____________________________ </w:t>
            </w:r>
            <w:r>
              <w:rPr>
                <w:sz w:val="24"/>
                <w:szCs w:val="24"/>
                <w:lang w:val="en-US"/>
              </w:rPr>
              <w:t xml:space="preserve">[</w:t>
            </w:r>
            <w:r>
              <w:rPr>
                <w:sz w:val="24"/>
                <w:szCs w:val="24"/>
              </w:rPr>
              <w:t xml:space="preserve">И.О. Фамилия</w:t>
            </w:r>
            <w:r>
              <w:rPr>
                <w:sz w:val="24"/>
                <w:szCs w:val="24"/>
                <w:lang w:val="en-US"/>
              </w:rPr>
              <w:t xml:space="preserve">]</w:t>
            </w:r>
          </w:p>
        </w:tc>
      </w:tr>
    </w:tbl>
    <w:p>
      <w:pPr>
        <w:widowControl w:val="off"/>
        <w:spacing w:before="120" w:after="0"/>
        <w:rPr>
          <w:bCs/>
          <w:i/>
          <w:color w:val="000000"/>
          <w:sz w:val="24"/>
          <w:szCs w:val="24"/>
          <w:vertAlign w:val="superscript"/>
        </w:rPr>
      </w:pPr>
    </w:p>
    <w:p>
      <w:pPr>
        <w:keepNext/>
        <w:pageBreakBefore/>
        <w:spacing w:after="120" w:line="199" w:lineRule="auto"/>
        <w:jc w:val="center"/>
        <w:outlineLvl w:val="0"/>
        <w:rPr>
          <w:rFonts w:eastAsia="Calibri" w:cs="Arial"/>
          <w:b/>
          <w:spacing w:val="-10"/>
          <w:sz w:val="24"/>
          <w:szCs w:val="28"/>
          <w:lang w:eastAsia="en-US"/>
        </w:rPr>
      </w:pPr>
      <w:r>
        <w:rPr>
          <w:rFonts w:eastAsia="Calibri" w:cs="Arial"/>
          <w:b/>
          <w:sz w:val="24"/>
          <w:szCs w:val="28"/>
          <w:lang w:eastAsia="en-US"/>
        </w:rPr>
        <w:t xml:space="preserve">Приложение № 2</w:t>
      </w:r>
      <w:r>
        <w:rPr>
          <w:rFonts w:eastAsia="Calibri" w:cs="Arial"/>
          <w:b/>
          <w:sz w:val="24"/>
          <w:szCs w:val="28"/>
          <w:lang w:eastAsia="en-US"/>
        </w:rPr>
        <w:br/>
        <w:t xml:space="preserve">к договору купли-продажи № НМТП   от «___» ______ </w:t>
      </w:r>
      <w:r>
        <w:rPr>
          <w:rFonts w:eastAsia="Calibri" w:cs="Arial"/>
          <w:b/>
          <w:sz w:val="24"/>
          <w:szCs w:val="28"/>
          <w:lang w:eastAsia="en-US"/>
        </w:rPr>
        <w:t xml:space="preserve">2026 г.</w:t>
      </w:r>
    </w:p>
    <w:p>
      <w:pPr>
        <w:spacing w:before="120" w:after="120" w:line="199" w:lineRule="auto"/>
        <w:jc w:val="center"/>
        <w:rPr>
          <w:rFonts w:eastAsia="Calibri"/>
          <w:sz w:val="24"/>
          <w:szCs w:val="28"/>
          <w:lang w:eastAsia="en-US"/>
        </w:rPr>
      </w:pPr>
      <w:r>
        <w:rPr>
          <w:rFonts w:eastAsia="Calibri"/>
          <w:b/>
          <w:sz w:val="24"/>
          <w:szCs w:val="28"/>
          <w:lang w:eastAsia="en-US"/>
        </w:rPr>
        <w:t xml:space="preserve">УВЕДОМЛЕНИЕ</w:t>
      </w:r>
      <w:r>
        <w:rPr>
          <w:rFonts w:eastAsia="Calibri"/>
          <w:b/>
          <w:sz w:val="24"/>
          <w:szCs w:val="28"/>
          <w:lang w:eastAsia="en-US"/>
        </w:rPr>
        <w:br/>
      </w:r>
      <w:r>
        <w:rPr>
          <w:rFonts w:eastAsia="Calibri"/>
          <w:sz w:val="24"/>
          <w:szCs w:val="28"/>
          <w:lang w:eastAsia="en-US"/>
        </w:rPr>
        <w:t xml:space="preserve">о связанности (не связанности) сторон</w:t>
      </w:r>
    </w:p>
    <w:p>
      <w:pPr>
        <w:spacing w:after="60" w:line="199" w:lineRule="auto"/>
        <w:jc w:val="both"/>
        <w:rPr>
          <w:rFonts w:eastAsia="Calibri"/>
          <w:spacing w:val="-10"/>
          <w:sz w:val="20"/>
          <w:szCs w:val="20"/>
          <w:lang w:eastAsia="en-US"/>
        </w:rPr>
      </w:pPr>
      <w:r>
        <w:rPr>
          <w:rFonts w:eastAsia="Calibri"/>
          <w:spacing w:val="-10"/>
          <w:sz w:val="20"/>
          <w:szCs w:val="20"/>
          <w:lang w:eastAsia="en-US"/>
        </w:rPr>
        <w:t xml:space="preserve">Настоящим Покупатель информирует ПАО «НМТП» о том, что был ознакомлен с принятым в ПАО «НМТП» Регламентом определения связанных сторон ПАО «НМТП» (размещён на сайте ПАО «НМТП», адрес: </w:t>
      </w:r>
      <w:r>
        <w:rPr>
          <w:rFonts w:eastAsia="Calibri"/>
          <w:color w:val="0000ff"/>
          <w:spacing w:val="-10"/>
          <w:sz w:val="20"/>
          <w:szCs w:val="20"/>
          <w:u w:val="single"/>
          <w:lang w:val="en-US" w:eastAsia="en-US"/>
        </w:rPr>
        <w:t xml:space="preserve">www</w:t>
      </w:r>
      <w:r>
        <w:rPr>
          <w:rFonts w:eastAsia="Calibri"/>
          <w:color w:val="0000ff"/>
          <w:spacing w:val="-10"/>
          <w:sz w:val="20"/>
          <w:szCs w:val="20"/>
          <w:u w:val="single"/>
          <w:lang w:eastAsia="en-US"/>
        </w:rPr>
        <w:t xml:space="preserve">.</w:t>
      </w:r>
      <w:r>
        <w:rPr>
          <w:rFonts w:eastAsia="Calibri"/>
          <w:color w:val="0000ff"/>
          <w:spacing w:val="-10"/>
          <w:sz w:val="20"/>
          <w:szCs w:val="20"/>
          <w:u w:val="single"/>
          <w:lang w:val="en-US" w:eastAsia="en-US"/>
        </w:rPr>
        <w:t xml:space="preserve">ncsp</w:t>
      </w:r>
      <w:r>
        <w:rPr>
          <w:rFonts w:eastAsia="Calibri"/>
          <w:color w:val="0000ff"/>
          <w:spacing w:val="-10"/>
          <w:sz w:val="20"/>
          <w:szCs w:val="20"/>
          <w:u w:val="single"/>
          <w:lang w:eastAsia="en-US"/>
        </w:rPr>
        <w:t xml:space="preserve">.</w:t>
      </w:r>
      <w:r>
        <w:rPr>
          <w:rFonts w:eastAsia="Calibri"/>
          <w:color w:val="0000ff"/>
          <w:spacing w:val="-10"/>
          <w:sz w:val="20"/>
          <w:szCs w:val="20"/>
          <w:u w:val="single"/>
          <w:lang w:val="en-US" w:eastAsia="en-US"/>
        </w:rPr>
        <w:t xml:space="preserve">ru</w:t>
      </w:r>
      <w:r>
        <w:rPr>
          <w:rFonts w:eastAsia="Calibri"/>
          <w:spacing w:val="-10"/>
          <w:sz w:val="20"/>
          <w:szCs w:val="20"/>
          <w:lang w:eastAsia="en-US"/>
        </w:rPr>
        <w:t xml:space="preserve">) и даёт согласие ПАО «НМТП» на обработку и раскрытие указанных в таблице данных в соответствии с Международными стандартами финансовой отчётности.</w:t>
      </w:r>
    </w:p>
    <w:sdt>
      <w:sdtPr>
        <w15:appearance w15:val="hidden"/>
        <w15:color w:val="ffffff"/>
        <w:id w:val="2124425819"/>
        <w:lock w:val="sdtLocked"/>
        <w:placeholder>
          <w:docPart w:val="DefaultPlaceholder_-1854013440"/>
        </w:placeholder>
        <w:rPr>
          <w:rFonts w:eastAsia="Calibri"/>
          <w:spacing w:val="-10"/>
          <w:sz w:val="20"/>
          <w:szCs w:val="20"/>
          <w:lang w:eastAsia="en-US"/>
        </w:rPr>
      </w:sdtPr>
      <w:sdtContent>
        <w:tbl>
          <w:tblPr>
            <w:tblW w:w="9637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  <w:tblGrid>
            <w:gridCol w:w="7143"/>
            <w:gridCol w:w="2494"/>
          </w:tblGrid>
          <w:tr>
            <w:trPr>
              <w:jc w:val="center"/>
              <w:trHeight w:val="20"/>
            </w:trPr>
            <w:tc>
              <w:tcPr>
                <w:tcW w:w="7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>
                <w:pPr>
                  <w:spacing w:after="0" w:line="204" w:lineRule="auto"/>
                  <w:jc w:val="center"/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  <w:t xml:space="preserve">Признаки связанных сторон</w:t>
                </w:r>
              </w:p>
              <w:p>
                <w:pPr>
                  <w:spacing w:after="0" w:line="204" w:lineRule="auto"/>
                  <w:jc w:val="center"/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  <w:t xml:space="preserve">(отметить нужное):</w:t>
                </w:r>
              </w:p>
            </w:tc>
            <w:tc>
              <w:tcPr>
                <w:tcW w:w="249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  <w:p>
                <w:pPr>
                  <w:spacing w:after="0" w:line="204" w:lineRule="auto"/>
                  <w:jc w:val="center"/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  <w:t xml:space="preserve">Признаки не связанных сторон</w:t>
                </w:r>
              </w:p>
              <w:p>
                <w:pPr>
                  <w:spacing w:after="0" w:line="204" w:lineRule="auto"/>
                  <w:jc w:val="center"/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  <w:t xml:space="preserve">(отметить нужное):</w:t>
                </w:r>
              </w:p>
            </w:tc>
          </w:tr>
          <w:tr>
            <w:trPr>
              <w:jc w:val="center"/>
              <w:trHeight w:val="20"/>
            </w:trPr>
            <w:tc>
              <w:tcPr>
                <w:tcW w:w="7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  <w:p>
                <w:pPr>
                  <w:numPr>
                    <w:numId w:val="7"/>
                    <w:ilvl w:val="0"/>
                  </w:numPr>
                  <w:tabs>
                    <w:tab w:val="left" w:pos="309"/>
                  </w:tabs>
                  <w:spacing w:after="0" w:line="204" w:lineRule="auto"/>
                  <w:contextualSpacing/>
                  <w:jc w:val="both"/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 xml:space="preserve">Покупатель, </w:t>
                </w:r>
                <w:r>
                  <w:rPr>
                    <w:b/>
                    <w:iCs/>
                    <w:spacing w:val="-10"/>
                    <w:sz w:val="16"/>
                    <w:szCs w:val="16"/>
                    <w:lang w:eastAsia="en-US"/>
                  </w:rPr>
                  <w:t xml:space="preserve">прямо или косвенно, через одного или нескольких посредников:</w:t>
                </w:r>
              </w:p>
              <w:p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(а) 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  <w:t xml:space="preserve">контролирует ПАО «НМТП» или контролируется ею, либо вместе с ПАО «НМТП» является объектом совместного контроля (это включает материнские организации, дочерние организации и дочерние организац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  <w:t xml:space="preserve">ии на основании косвенной ли участия);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</w:p>
              <w:p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соответствующий признак связанности.</w:t>
                </w:r>
              </w:p>
              <w:p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" name="_x0000_i102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  <a:miter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0" o:spid="_x0000_s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" name="_x0000_i102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  <a:miter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" o:spid="_x0000_s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" name="_x0000_i102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" o:spid="_x0000_s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4" name="_x0000_i102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" o:spid="_x0000_s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 xml:space="preserve">b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  <w:t xml:space="preserve">имеет долю в организации, обеспечивающую ей значительное влияние на ПАО «НМТП»;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</w:p>
              <w:p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долю, обеспечивающую значительное влияние на ПАО «НМТП».</w:t>
                </w:r>
              </w:p>
              <w:p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5" name="_x0000_i102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4" o:spid="_x0000_s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6" name="_x0000_i103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5" o:spid="_x0000_s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 xml:space="preserve">c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  <w:t xml:space="preserve">осуществляет совместный контроль над ПАО «НМТП»;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</w:p>
              <w:p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организации, с которыми осуществляется совместный контроль над ПАО «НМТП».</w:t>
                </w:r>
              </w:p>
              <w:p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7" name="_x0000_i103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6" o:spid="_x0000_s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8" name="_x0000_i103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7" o:spid="_x0000_s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9" name="_x0000_i1033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8" o:spid="_x0000_s8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0" name="_x0000_i1034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9" o:spid="_x0000_s9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1" name="_x0000_i103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0" o:spid="_x0000_s1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2" name="_x0000_i103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1" o:spid="_x0000_s1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 xml:space="preserve">d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  <w:t xml:space="preserve">является ассоциированной организацией.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</w:p>
              <w:p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указать, какой инвестор и как именно он оказывает существенное влияние.</w:t>
                </w:r>
              </w:p>
              <w:p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3" name="_x0000_i103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2" o:spid="_x0000_s1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4" name="_x0000_i103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3" o:spid="_x0000_s1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5" name="_x0000_i103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4" o:spid="_x0000_s1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 xml:space="preserve">2.Физическое лицо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 </w:t>
                </w:r>
                <w:r>
                  <w:rPr>
                    <w:rFonts w:eastAsia="Calibri"/>
                    <w:b/>
                    <w:iCs/>
                    <w:spacing w:val="-10"/>
                    <w:sz w:val="16"/>
                    <w:szCs w:val="16"/>
                    <w:lang w:eastAsia="en-US"/>
                  </w:rPr>
                  <w:t xml:space="preserve">входит в состав старшего рук</w:t>
                </w:r>
                <w:r>
                  <w:rPr>
                    <w:rFonts w:eastAsia="Calibri"/>
                    <w:b/>
                    <w:iCs/>
                    <w:spacing w:val="-10"/>
                    <w:sz w:val="16"/>
                    <w:szCs w:val="16"/>
                    <w:lang w:eastAsia="en-US"/>
                  </w:rPr>
                  <w:t xml:space="preserve">оводящего персонала ПАО «НМТП» или его материнской организации: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 xml:space="preserve">a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член Совета директоров (наблюдательного совета)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</w:p>
              <w:p>
                <w:pPr>
                  <w:tabs>
                    <w:tab w:val="left" w:pos="592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члена Совета директоров</w:t>
                </w:r>
              </w:p>
              <w:p>
                <w:pPr>
                  <w:tabs>
                    <w:tab w:val="left" w:pos="592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6" name="_x0000_i104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5" o:spid="_x0000_s1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tabs>
                    <w:tab w:val="left" w:pos="592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 xml:space="preserve">b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член коллегиального органа управления;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члена коллегиального органа управления.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7" name="_x0000_i104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6" o:spid="_x0000_s1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(с) лицо, осуществляющее полномочия единоличного исполнительного орг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ана.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члена единоличного исполнительного органа.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8" name="_x0000_i104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7" o:spid="_x0000_s1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 xml:space="preserve">3.Близкие родственники, оказывающие влияние на частное лицо </w:t>
                </w: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 xml:space="preserve">или</w:t>
                </w: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 xml:space="preserve"> которые могут оказаться под его влиянием в ходе проведения операций с предприятием:</w:t>
                </w:r>
              </w:p>
              <w:p>
                <w:pPr>
                  <w:widowControl w:val="off"/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(a) дети, а также супруг (супруга) или гражданский супруг (супруга) такого лица;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близкого родственника и степень родства.</w:t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19" name="_x0000_i1043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8" o:spid="_x0000_s18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0" name="_x0000_i1044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19" o:spid="_x0000_s19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(b) дети супруга (супруги) или гражданского супруга (супруги) такого лица;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близкого родственника и степень родства.</w:t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1" name="_x0000_i104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0" o:spid="_x0000_s2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2" name="_x0000_i104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1" o:spid="_x0000_s2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(c) иждивенцы такого лица, супруга (супруги) или гражданского супруга (супруги) такого лица.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</w:p>
              <w:p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Если ответ «Да», то просим указать ФИО близкого родственника и степень родства.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3" name="_x0000_i104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2" o:spid="_x0000_s2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4" name="_x0000_i104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3" o:spid="_x0000_s2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5" name="_x0000_i104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4" o:spid="_x0000_s2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</w:tc>
            <w:tc>
              <w:tcPr>
                <w:tcW w:w="249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  <w:p>
                <w:pPr>
                  <w:widowControl w:val="off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(а) две организации, только потому что у них общий директор или иной член старшего руководящего персонала, или потому, что член старшего руководящего персонала одной орга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низации имеет значительное влияние на другую организацию;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br/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Если ответ «Да», то просим указать соответствующий признак и ФИО.</w:t>
                </w:r>
              </w:p>
              <w:p>
                <w:pPr>
                  <w:widowControl w:val="off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6" name="_x0000_i105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5" o:spid="_x0000_s2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widowControl w:val="off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7" name="_x0000_i105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6" o:spid="_x0000_s2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widowControl w:val="off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8" name="_x0000_i105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7" o:spid="_x0000_s2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widowControl w:val="off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(b) два участника совместного предприятия только по той причине, что они осуществляют совместный контроль над совместной деятельностью;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br/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Если ответ «Да», то просим указать ФИО участников совместного предприятия.</w:t>
                </w:r>
              </w:p>
              <w:p>
                <w:pPr>
                  <w:widowControl w:val="off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29" name="_x0000_i1053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8" o:spid="_x0000_s28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widowControl w:val="off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0" name="_x0000_i1054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29" o:spid="_x0000_s29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widowControl w:val="off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1" name="_x0000_i105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0" o:spid="_x0000_s3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widowControl w:val="off"/>
                  <w:tabs>
                    <w:tab w:val="left" w:pos="651"/>
                  </w:tabs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(c) стороны, предоставляющие ф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инансирование, профсоюзы, коммунальные службы, правительственные учреждения и ведомства, которые не осуществляют контроль, совместный контроль или не имеют значительного влияния на отчитывающееся предприятие, только исходя из наличия обычных операций с пре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дприятием (даже если они могут влиять на свободу действий предприятия или участвовать в процессе принятия решений предприятием);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br/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Если ответ «Да», то просим указать соответствующий признак с указанием организации.</w:t>
                </w:r>
              </w:p>
              <w:p>
                <w:pPr>
                  <w:widowControl w:val="off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2" name="_x0000_i105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1" o:spid="_x0000_s3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widowControl w:val="off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3" name="_x0000_i105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2" o:spid="_x0000_s3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widowControl w:val="off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4" name="_x0000_i105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3" o:spid="_x0000_s3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widowControl w:val="off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(d) покупатель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, сторона, предоставляющая льготное право по говору о франшизе, дистрибьютор или генеральный агент, с которыми организация проводит сделки значительного объёма лишь по причине, возникающей в результате этого экономической зависимости.</w:t>
                </w:r>
              </w:p>
              <w:p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</w:t>
                </w:r>
                <w:r>
                  <w:rPr>
                    <w:rFonts w:ascii="Wingdings" w:hAnsi="Wingdings" w:eastAsia="Wingdings" w:cs="Wingdings"/>
                    <w:spacing w:val="-10"/>
                    <w:sz w:val="16"/>
                    <w:szCs w:val="16"/>
                    <w:lang w:eastAsia="en-US"/>
                  </w:rPr>
                  <w:t xml:space="preserve"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br/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Если ответ «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 xml:space="preserve">Да», то просим указать соответствующий признак, условия льготного права/экономической зависимости и Заказчика.</w:t>
                </w:r>
              </w:p>
              <w:p>
                <w:pPr>
                  <w:widowControl w:val="off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5" name="_x0000_i105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4" o:spid="_x0000_s3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widowControl w:val="off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6" name="_x0000_i106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5" o:spid="_x0000_s3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widowControl w:val="off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7" name="_x0000_i106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6" o:spid="_x0000_s3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>
                <w:pPr>
                  <w:widowControl w:val="off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3066415" cy="9525"/>
                          <wp:effectExtent l="0" t="0" r="0" b="0"/>
                          <wp:docPr id="38" name="_x0000_i106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Pr id="0" name=""/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id="shape 37" o:spid="_x0000_s3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</w:tc>
          </w:tr>
        </w:tbl>
      </w:sdtContent>
    </w:sdt>
    <w:p>
      <w:pPr>
        <w:spacing w:before="60" w:after="60" w:line="202" w:lineRule="auto"/>
        <w:jc w:val="both"/>
        <w:rPr>
          <w:rFonts w:eastAsia="Calibri"/>
          <w:spacing w:val="-10"/>
          <w:sz w:val="20"/>
          <w:szCs w:val="20"/>
          <w:lang w:eastAsia="en-US"/>
        </w:rPr>
      </w:pPr>
      <w:r>
        <w:rPr>
          <w:rFonts w:eastAsia="Calibri"/>
          <w:spacing w:val="-10"/>
          <w:sz w:val="20"/>
          <w:szCs w:val="20"/>
          <w:lang w:eastAsia="en-US"/>
        </w:rPr>
        <w:t xml:space="preserve">Покупатель должен сделать письменный вывод о признании или не признании себя связанной стороной ПАО «НМТП».</w:t>
      </w:r>
    </w:p>
    <w:p>
      <w:pPr>
        <w:spacing w:before="60" w:after="60" w:line="202" w:lineRule="auto"/>
        <w:ind w:firstLine="425"/>
        <w:jc w:val="both"/>
        <w:rPr>
          <w:i/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 xml:space="preserve">Вывод: ____________________________ (</w:t>
      </w:r>
      <w:r>
        <w:rPr>
          <w:i/>
          <w:spacing w:val="-10"/>
          <w:sz w:val="20"/>
          <w:szCs w:val="20"/>
        </w:rPr>
        <w:t xml:space="preserve">является или не является Покупатель связанной стороной ПАО «НМТП»).</w:t>
      </w:r>
    </w:p>
    <w:p>
      <w:pPr>
        <w:spacing w:before="60" w:after="60" w:line="202" w:lineRule="auto"/>
        <w:jc w:val="both"/>
        <w:rPr>
          <w:sz w:val="20"/>
          <w:szCs w:val="20"/>
        </w:rPr>
      </w:pPr>
      <w:r>
        <w:rPr>
          <w:spacing w:val="-10"/>
          <w:sz w:val="20"/>
          <w:szCs w:val="20"/>
        </w:rPr>
        <w:t xml:space="preserve">[Должность подписанта контрагента]</w:t>
      </w:r>
      <w:r>
        <w:rPr>
          <w:sz w:val="20"/>
          <w:szCs w:val="20"/>
        </w:rPr>
        <w:t xml:space="preserve"> _______________ (_____________)</w:t>
      </w:r>
    </w:p>
    <w:p>
      <w:pPr>
        <w:spacing w:before="60" w:after="60" w:line="202" w:lineRule="auto"/>
        <w:ind w:left="2694"/>
        <w:rPr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 xml:space="preserve">М.П.</w:t>
      </w:r>
    </w:p>
    <w:p>
      <w:pPr>
        <w:spacing w:before="60" w:after="60" w:line="202" w:lineRule="auto"/>
        <w:rPr>
          <w:b/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 xml:space="preserve">               Дата «_____» _________ 2026 г.</w:t>
      </w:r>
    </w:p>
    <w:p>
      <w:pPr>
        <w:tabs>
          <w:tab w:val="center" w:pos="4153"/>
          <w:tab w:val="right" w:pos="8306"/>
        </w:tabs>
        <w:spacing w:before="60" w:after="60" w:line="202" w:lineRule="auto"/>
        <w:jc w:val="both"/>
        <w:rPr>
          <w:spacing w:val="-10"/>
          <w:sz w:val="20"/>
          <w:szCs w:val="20"/>
          <w:lang w:eastAsia="ar-SA"/>
        </w:rPr>
      </w:pPr>
      <w:r>
        <w:rPr>
          <w:b/>
          <w:spacing w:val="-10"/>
          <w:sz w:val="20"/>
          <w:szCs w:val="20"/>
          <w:lang w:eastAsia="ar-SA"/>
        </w:rPr>
        <w:t xml:space="preserve">ПРИМЕЧАНИЕ:</w:t>
      </w:r>
      <w:r>
        <w:rPr>
          <w:spacing w:val="-10"/>
          <w:sz w:val="20"/>
          <w:szCs w:val="20"/>
          <w:lang w:eastAsia="ar-SA"/>
        </w:rPr>
        <w:t xml:space="preserve"> просим Покупатель</w:t>
      </w:r>
      <w:r>
        <w:rPr>
          <w:spacing w:val="-10"/>
          <w:sz w:val="20"/>
          <w:szCs w:val="20"/>
          <w:lang w:eastAsia="ar-SA"/>
        </w:rPr>
        <w:t xml:space="preserve"> отметить необходимые поля с признаками отнесения или не отнесения к связанной стороне и сделать вывод о признании или не признании себя связанной стороной «ПАО» НМТП». При отмечании признаков в обоих полях Таблицы, просим также сделать вывод о признании и</w:t>
      </w:r>
      <w:r>
        <w:rPr>
          <w:spacing w:val="-10"/>
          <w:sz w:val="20"/>
          <w:szCs w:val="20"/>
          <w:lang w:eastAsia="ar-SA"/>
        </w:rPr>
        <w:t xml:space="preserve">ли не признании себя связанной стороной «ПАО» НМТП».</w:t>
      </w:r>
    </w:p>
    <w:p>
      <w:pPr>
        <w:tabs>
          <w:tab w:val="left" w:pos="2100"/>
        </w:tabs>
        <w:spacing w:before="60" w:after="60" w:line="202" w:lineRule="auto"/>
        <w:rPr>
          <w:spacing w:val="-10"/>
          <w:sz w:val="20"/>
          <w:szCs w:val="20"/>
          <w:lang w:eastAsia="hi-IN" w:bidi="hi-IN"/>
        </w:rPr>
      </w:pPr>
      <w:r>
        <w:rPr>
          <w:b/>
          <w:spacing w:val="-10"/>
          <w:sz w:val="20"/>
          <w:szCs w:val="20"/>
          <w:lang w:eastAsia="ar-SA"/>
        </w:rPr>
        <w:t xml:space="preserve">АНКЕТА </w:t>
      </w:r>
      <w:r>
        <w:rPr>
          <w:spacing w:val="-10"/>
          <w:sz w:val="20"/>
          <w:szCs w:val="20"/>
          <w:lang w:eastAsia="ar-SA"/>
        </w:rPr>
        <w:t xml:space="preserve">должна быть заполнена и возвращена Покупателем в адрес ПАО «НМТП».</w:t>
      </w:r>
    </w:p>
    <w:sectPr>
      <w:headerReference w:type="default" r:id="rId10"/>
      <w:headerReference w:type="first" r:id="rId11"/>
      <w:footerReference w:type="default" r:id="rId12"/>
      <w:footerReference w:type="first" r:id="rId13"/>
      <w:pgSz w:w="11906" w:h="16838"/>
      <w:pgMar w:top="1134" w:right="567" w:bottom="1134" w:left="1134" w:header="284" w:footer="170" w:gutter="567"/>
      <w:cols w:space="708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  <w:endnote w:type="continuationNotice" w:id="1">
    <w:p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6040504020204"/>
  </w:font>
  <w:font w:name="Courier New">
    <w:panose1 w:val="02070409020205020404"/>
  </w:font>
  <w:font w:name="Arial">
    <w:panose1 w:val="020B0604020202020204"/>
  </w:font>
  <w:font w:name="Calibri Light">
    <w:panose1 w:val="020F0502020204030204"/>
  </w:font>
  <w:font w:name="Wingdings">
    <w:panose1 w:val="05010000000000000000"/>
  </w:font>
  <w:font w:name="Franklin Gothic Book">
    <w:panose1 w:val="020B05030201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hidden"/>
      <w15:color w:val="ffffff"/>
      <w:id w:val="-413855526"/>
      <w:showingPlcHdr w:val="true"/>
      <w:docPartObj>
        <w:docPartGallery w:val="Page Numbers (Bottom of Page)"/>
        <w:docPartUnique w:val="true"/>
      </w:docPartObj>
    </w:sdtPr>
    <w:sdtContent>
      <w:p>
        <w:r>
          <w:t xml:space="preserve">    </w:t>
        </w:r>
      </w:p>
    </w:sdtContent>
  </w:sdt>
  <w:p>
    <w:pPr>
      <w:pStyle w:val="af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type="continuationNotice" w:id="1">
    <w:p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f3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7</w:t>
    </w:r>
    <w:r>
      <w:fldChar w:fldCharType="end"/>
    </w:r>
  </w:p>
  <w:p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567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2">
    <w:multiLevelType w:val="hybridMultilevel"/>
    <w:lvl w:ilvl="0" w:tplc="E5BE2B2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 w:val="0"/>
      </w:rPr>
    </w:lvl>
    <w:lvl w:ilvl="1" w:tplc="AF9454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6AF6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96CF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925F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94CE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BAEC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1A12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146F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multiLevelType w:val="hybridMultilevel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>
    <w:multiLevelType w:val="hybridMultilevel"/>
    <w:lvl w:ilvl="0" w:tplc="7ABC0D96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04ED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626E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5AA17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42429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1218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847D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2C24C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54696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multiLevelType w:val="hybridMultilevel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multiLevelType w:val="hybridMultilevel"/>
    <w:lvl w:ilvl="0">
      <w:start w:val="7"/>
      <w:numFmt w:val="decimal"/>
      <w:lvlText w:val="%1."/>
      <w:lvlJc w:val="left"/>
      <w:pPr>
        <w:ind w:left="644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7">
    <w:multiLevelType w:val="hybridMultilevel"/>
    <w:lvl w:ilvl="0" w:tplc="D6B46E3E">
      <w:start w:val="1"/>
      <w:numFmt w:val="decimal"/>
      <w:lvlText w:val="%1."/>
      <w:lvlJc w:val="left"/>
      <w:pPr>
        <w:tabs>
          <w:tab w:val="num" w:pos="1258"/>
        </w:tabs>
        <w:ind w:left="1258" w:hanging="930"/>
      </w:pPr>
    </w:lvl>
    <w:lvl w:ilvl="1" w:tplc="E1CC0F40">
      <w:start w:val="1"/>
      <w:numFmt w:val="decimal"/>
      <w:lvlText w:val="%2."/>
      <w:lvlJc w:val="left"/>
      <w:pPr>
        <w:tabs>
          <w:tab w:val="num" w:pos="1485"/>
        </w:tabs>
        <w:ind w:left="1485" w:hanging="360"/>
      </w:pPr>
    </w:lvl>
    <w:lvl w:ilvl="2" w:tplc="7E04CE52">
      <w:start w:val="1"/>
      <w:numFmt w:val="decimal"/>
      <w:lvlText w:val="%3."/>
      <w:lvlJc w:val="left"/>
      <w:pPr>
        <w:tabs>
          <w:tab w:val="num" w:pos="2205"/>
        </w:tabs>
        <w:ind w:left="2205" w:hanging="360"/>
      </w:pPr>
    </w:lvl>
    <w:lvl w:ilvl="3" w:tplc="A6CEC966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CB12F196">
      <w:start w:val="1"/>
      <w:numFmt w:val="decimal"/>
      <w:lvlText w:val="%5."/>
      <w:lvlJc w:val="left"/>
      <w:pPr>
        <w:tabs>
          <w:tab w:val="num" w:pos="3645"/>
        </w:tabs>
        <w:ind w:left="3645" w:hanging="360"/>
      </w:pPr>
    </w:lvl>
    <w:lvl w:ilvl="5" w:tplc="B78E67D0">
      <w:start w:val="1"/>
      <w:numFmt w:val="decimal"/>
      <w:lvlText w:val="%6."/>
      <w:lvlJc w:val="left"/>
      <w:pPr>
        <w:tabs>
          <w:tab w:val="num" w:pos="4365"/>
        </w:tabs>
        <w:ind w:left="4365" w:hanging="360"/>
      </w:pPr>
    </w:lvl>
    <w:lvl w:ilvl="6" w:tplc="0DE8CD4A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421EF590">
      <w:start w:val="1"/>
      <w:numFmt w:val="decimal"/>
      <w:lvlText w:val="%8."/>
      <w:lvlJc w:val="left"/>
      <w:pPr>
        <w:tabs>
          <w:tab w:val="num" w:pos="5805"/>
        </w:tabs>
        <w:ind w:left="5805" w:hanging="360"/>
      </w:pPr>
    </w:lvl>
    <w:lvl w:ilvl="8" w:tplc="56568162">
      <w:start w:val="1"/>
      <w:numFmt w:val="decimal"/>
      <w:lvlText w:val="%9."/>
      <w:lvlJc w:val="left"/>
      <w:pPr>
        <w:tabs>
          <w:tab w:val="num" w:pos="6525"/>
        </w:tabs>
        <w:ind w:left="6525" w:hanging="360"/>
      </w:pPr>
    </w:lvl>
  </w:abstractNum>
  <w:abstractNum w:abstractNumId="8">
    <w:multiLevelType w:val="hybridMultilevel"/>
    <w:lvl w:ilvl="0" w:tplc="CAD85F3C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6EE1A52">
      <w:start w:val="1"/>
      <w:numFmt w:val="lowerLetter"/>
      <w:lvlText w:val="%2."/>
      <w:lvlJc w:val="left"/>
      <w:pPr>
        <w:ind w:left="1647" w:hanging="360"/>
      </w:pPr>
    </w:lvl>
    <w:lvl w:ilvl="2" w:tplc="0ED68B02">
      <w:start w:val="1"/>
      <w:numFmt w:val="lowerRoman"/>
      <w:lvlText w:val="%3."/>
      <w:lvlJc w:val="right"/>
      <w:pPr>
        <w:ind w:left="2367" w:hanging="180"/>
      </w:pPr>
    </w:lvl>
    <w:lvl w:ilvl="3" w:tplc="3466893A">
      <w:start w:val="1"/>
      <w:numFmt w:val="decimal"/>
      <w:lvlText w:val="%4."/>
      <w:lvlJc w:val="left"/>
      <w:pPr>
        <w:ind w:left="3087" w:hanging="360"/>
      </w:pPr>
    </w:lvl>
    <w:lvl w:ilvl="4" w:tplc="F9EEE298">
      <w:start w:val="1"/>
      <w:numFmt w:val="lowerLetter"/>
      <w:lvlText w:val="%5."/>
      <w:lvlJc w:val="left"/>
      <w:pPr>
        <w:ind w:left="3807" w:hanging="360"/>
      </w:pPr>
    </w:lvl>
    <w:lvl w:ilvl="5" w:tplc="62CC9B92">
      <w:start w:val="1"/>
      <w:numFmt w:val="lowerRoman"/>
      <w:lvlText w:val="%6."/>
      <w:lvlJc w:val="right"/>
      <w:pPr>
        <w:ind w:left="4527" w:hanging="180"/>
      </w:pPr>
    </w:lvl>
    <w:lvl w:ilvl="6" w:tplc="D7D479AC">
      <w:start w:val="1"/>
      <w:numFmt w:val="decimal"/>
      <w:lvlText w:val="%7."/>
      <w:lvlJc w:val="left"/>
      <w:pPr>
        <w:ind w:left="5247" w:hanging="360"/>
      </w:pPr>
    </w:lvl>
    <w:lvl w:ilvl="7" w:tplc="30106040">
      <w:start w:val="1"/>
      <w:numFmt w:val="lowerLetter"/>
      <w:lvlText w:val="%8."/>
      <w:lvlJc w:val="left"/>
      <w:pPr>
        <w:ind w:left="5967" w:hanging="360"/>
      </w:pPr>
    </w:lvl>
    <w:lvl w:ilvl="8" w:tplc="E1983C36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multiLevelType w:val="hybridMultilevel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0">
    <w:multiLevelType w:val="hybridMultilevel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num w:numId="1">
    <w:abstractNumId w:val="2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7"/>
  </w:num>
  <w:num w:numId="10">
    <w:abstractNumId w:val="4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200" w:line="276" w:lineRule="auto"/>
    </w:pPr>
    <w:rPr>
      <w:rFonts w:ascii="Franklin Gothic Book" w:hAnsi="Franklin Gothic Book"/>
      <w:sz w:val="28"/>
      <w:szCs w:val="22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outlineLvl w:val="0"/>
    </w:pPr>
    <w:rPr>
      <w:rFonts w:ascii="Times New Roman" w:hAnsi="Times New Roman"/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Heading1Char" w:customStyle="1">
    <w:name w:val="Heading 1 Char"/>
    <w:basedOn w:val="a0"/>
    <w:uiPriority w:val="9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a0"/>
    <w:uiPriority w:val="9"/>
    <w:rPr>
      <w:rFonts w:ascii="Arial" w:hAnsi="Arial" w:eastAsia="Arial" w:cs="Arial"/>
      <w:sz w:val="34"/>
    </w:rPr>
  </w:style>
  <w:style w:type="character" w:styleId="30" w:customStyle="1">
    <w:name w:val="Заголовок 3 Знак"/>
    <w:basedOn w:val="a0"/>
    <w:link w:val="3"/>
    <w:uiPriority w:val="9"/>
    <w:rPr>
      <w:rFonts w:ascii="Arial" w:hAnsi="Arial" w:eastAsia="Arial" w:cs="Arial"/>
      <w:sz w:val="30"/>
      <w:szCs w:val="30"/>
    </w:rPr>
  </w:style>
  <w:style w:type="character" w:styleId="40" w:customStyle="1">
    <w:name w:val="Заголовок 4 Знак"/>
    <w:basedOn w:val="a0"/>
    <w:link w:val="4"/>
    <w:uiPriority w:val="9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a0"/>
    <w:uiPriority w:val="9"/>
    <w:rPr>
      <w:rFonts w:ascii="Arial" w:hAnsi="Arial" w:eastAsia="Arial" w:cs="Arial"/>
      <w:b/>
      <w:bCs/>
      <w:sz w:val="24"/>
      <w:szCs w:val="24"/>
    </w:rPr>
  </w:style>
  <w:style w:type="character" w:styleId="60" w:customStyle="1">
    <w:name w:val="Заголовок 6 Знак"/>
    <w:basedOn w:val="a0"/>
    <w:link w:val="6"/>
    <w:uiPriority w:val="9"/>
    <w:rPr>
      <w:rFonts w:ascii="Arial" w:hAnsi="Arial" w:eastAsia="Arial" w:cs="Arial"/>
      <w:b/>
      <w:bCs/>
      <w:sz w:val="22"/>
      <w:szCs w:val="22"/>
    </w:rPr>
  </w:style>
  <w:style w:type="character" w:styleId="70" w:customStyle="1">
    <w:name w:val="Заголовок 7 Знак"/>
    <w:basedOn w:val="a0"/>
    <w:link w:val="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" w:customStyle="1">
    <w:name w:val="Заголовок 8 Знак"/>
    <w:basedOn w:val="a0"/>
    <w:link w:val="8"/>
    <w:uiPriority w:val="9"/>
    <w:rPr>
      <w:rFonts w:ascii="Arial" w:hAnsi="Arial" w:eastAsia="Arial" w:cs="Arial"/>
      <w:i/>
      <w:iCs/>
      <w:sz w:val="22"/>
      <w:szCs w:val="22"/>
    </w:rPr>
  </w:style>
  <w:style w:type="character" w:styleId="90" w:customStyle="1">
    <w:name w:val="Заголовок 9 Знак"/>
    <w:basedOn w:val="a0"/>
    <w:link w:val="9"/>
    <w:uiPriority w:val="9"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styleId="a4" w:customStyle="1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6" w:customStyle="1">
    <w:name w:val="Выделенная цитата Знак"/>
    <w:link w:val="a5"/>
    <w:uiPriority w:val="30"/>
    <w:rPr>
      <w:i/>
    </w:rPr>
  </w:style>
  <w:style w:type="character" w:styleId="HeaderChar" w:customStyle="1">
    <w:name w:val="Header Char"/>
    <w:basedOn w:val="a0"/>
    <w:uiPriority w:val="99"/>
  </w:style>
  <w:style w:type="character" w:styleId="FooterChar" w:customStyle="1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a8" w:customStyle="1">
    <w:name w:val="Название объекта Знак"/>
    <w:basedOn w:val="a0"/>
    <w:link w:val="a7"/>
    <w:uiPriority w:val="35"/>
    <w:rPr>
      <w:b/>
      <w:bCs/>
      <w:color w:val="5b9bd5" w:themeColor="accent1"/>
      <w:sz w:val="18"/>
      <w:szCs w:val="18"/>
    </w:rPr>
  </w:style>
  <w:style w:type="table" w:styleId="TableGridLight" w:customStyle="1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">
    <w:name w:val="Plain Table 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styleId="GridTable1Light-Accent2" w:customStyle="1">
    <w:name w:val="Grid Table 1 Light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styleId="GridTable1Light-Accent3" w:customStyle="1">
    <w:name w:val="Grid Table 1 Light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styleId="GridTable1Light-Accent4" w:customStyle="1">
    <w:name w:val="Grid Table 1 Light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</w:style>
  <w:style w:type="table" w:styleId="GridTable1Light-Accent5" w:customStyle="1">
    <w:name w:val="Grid Table 1 Light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</w:style>
  <w:style w:type="table" w:styleId="GridTable1Light-Accent6" w:customStyle="1">
    <w:name w:val="Grid Table 1 Light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styleId="GridTable2-Accent2" w:customStyle="1">
    <w:name w:val="Grid Table 2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2-Accent3" w:customStyle="1">
    <w:name w:val="Grid Table 2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2-Accent4" w:customStyle="1">
    <w:name w:val="Grid Table 2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2-Accent5" w:customStyle="1">
    <w:name w:val="Grid Table 2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2-Accent6" w:customStyle="1">
    <w:name w:val="Grid Table 2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styleId="GridTable3-Accent2" w:customStyle="1">
    <w:name w:val="Grid Table 3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3-Accent3" w:customStyle="1">
    <w:name w:val="Grid Table 3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3-Accent4" w:customStyle="1">
    <w:name w:val="Grid Table 3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3-Accent5" w:customStyle="1">
    <w:name w:val="Grid Table 3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3-Accent6" w:customStyle="1">
    <w:name w:val="Grid Table 3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basedOn w:val="a1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styleId="GridTable4-Accent2" w:customStyle="1">
    <w:name w:val="Grid Table 4 - Accent 2"/>
    <w:basedOn w:val="a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4-Accent3" w:customStyle="1">
    <w:name w:val="Grid Table 4 - Accent 3"/>
    <w:basedOn w:val="a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4-Accent4" w:customStyle="1">
    <w:name w:val="Grid Table 4 - Accent 4"/>
    <w:basedOn w:val="a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4-Accent5" w:customStyle="1">
    <w:name w:val="Grid Table 4 - Accent 5"/>
    <w:basedOn w:val="a1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4-Accent6" w:customStyle="1">
    <w:name w:val="Grid Table 4 - Accent 6"/>
    <w:basedOn w:val="a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band1Horz">
      <w:tcPr>
        <w:shd w:val="clear" w:color="b3d0eb" w:themeColor="accent1" w:themeTint="75" w:fill="b3d0eb" w:themeFill="accent1" w:themeFillTint="75"/>
      </w:tcPr>
    </w:tblStylePr>
  </w:style>
  <w:style w:type="table" w:styleId="GridTable5Dark-Accent2" w:customStyle="1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styleId="GridTable5Dark-Accent3" w:customStyle="1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styleId="GridTable5Dark-Accent4" w:customStyle="1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band1Horz">
      <w:tcPr>
        <w:shd w:val="clear" w:color="ffe28a" w:themeColor="accent4" w:themeTint="75" w:fill="ffe28a" w:themeFill="accent4" w:themeFillTint="75"/>
      </w:tcPr>
    </w:tblStylePr>
  </w:style>
  <w:style w:type="table" w:styleId="GridTable5Dark-Accent5" w:customStyle="1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band1Horz">
      <w:tcPr>
        <w:shd w:val="clear" w:color="a9bee4" w:themeColor="accent5" w:themeTint="75" w:fill="a9bee4" w:themeFill="accent5" w:themeFillTint="75"/>
      </w:tcPr>
    </w:tblStylePr>
  </w:style>
  <w:style w:type="table" w:styleId="GridTable5Dark-Accent6" w:customStyle="1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a1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a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a1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a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a1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a1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a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styleId="ListTable1Light-Accent2" w:customStyle="1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styleId="ListTable1Light-Accent3" w:customStyle="1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styleId="ListTable1Light-Accent4" w:customStyle="1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tcPr>
        <w:shd w:val="clear" w:color="ffefbf" w:themeColor="accent4" w:themeTint="40" w:fill="ffefbf" w:themeFill="accent4" w:themeFillTint="40"/>
      </w:tcPr>
    </w:tblStylePr>
  </w:style>
  <w:style w:type="table" w:styleId="ListTable1Light-Accent5" w:customStyle="1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tcPr>
        <w:shd w:val="clear" w:color="cfdbf0" w:themeColor="accent5" w:themeTint="40" w:fill="cfdbf0" w:themeFill="accent5" w:themeFillTint="40"/>
      </w:tcPr>
    </w:tblStylePr>
  </w:style>
  <w:style w:type="table" w:styleId="ListTable1Light-Accent6" w:customStyle="1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styleId="ListTable2-Accent2" w:customStyle="1">
    <w:name w:val="List Table 2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styleId="ListTable2-Accent3" w:customStyle="1">
    <w:name w:val="List Table 2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styleId="ListTable2-Accent4" w:customStyle="1">
    <w:name w:val="List Table 2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</w:style>
  <w:style w:type="table" w:styleId="ListTable2-Accent5" w:customStyle="1">
    <w:name w:val="List Table 2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</w:style>
  <w:style w:type="table" w:styleId="ListTable2-Accent6" w:customStyle="1">
    <w:name w:val="List Table 2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styleId="ListTable3-Accent2" w:customStyle="1">
    <w:name w:val="List Table 3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</w:style>
  <w:style w:type="table" w:styleId="ListTable3-Accent3" w:customStyle="1">
    <w:name w:val="List Table 3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styleId="ListTable3-Accent4" w:customStyle="1">
    <w:name w:val="List Table 3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</w:style>
  <w:style w:type="table" w:styleId="ListTable3-Accent5" w:customStyle="1">
    <w:name w:val="List Table 3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</w:style>
  <w:style w:type="table" w:styleId="ListTable3-Accent6" w:customStyle="1">
    <w:name w:val="List Table 3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styleId="ListTable4-Accent2" w:customStyle="1">
    <w:name w:val="List Table 4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styleId="ListTable4-Accent3" w:customStyle="1">
    <w:name w:val="List Table 4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styleId="ListTable4-Accent4" w:customStyle="1">
    <w:name w:val="List Table 4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</w:style>
  <w:style w:type="table" w:styleId="ListTable4-Accent5" w:customStyle="1">
    <w:name w:val="List Table 4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</w:style>
  <w:style w:type="table" w:styleId="ListTable4-Accent6" w:customStyle="1">
    <w:name w:val="List Table 4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basedOn w:val="a1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styleId="ListTable5Dark-Accent2" w:customStyle="1">
    <w:name w:val="List Table 5 Dark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4B184" w:themeColor="accent2" w:themeTint="97" w:sz="32" w:space="0"/>
          <w:bottom w:val="single" w:color="FFFFFF" w:themeColor="light1" w:sz="12" w:space="0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 w:customStyle="1">
    <w:name w:val="List Table 5 Dark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 w:customStyle="1">
    <w:name w:val="List Table 5 Dark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FD865" w:themeColor="accent4" w:themeTint="9A" w:sz="32" w:space="0"/>
          <w:bottom w:val="single" w:color="FFFFFF" w:themeColor="light1" w:sz="12" w:space="0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 w:customStyle="1">
    <w:name w:val="List Table 5 Dark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8DA9DB" w:themeColor="accent5" w:themeTint="9A" w:sz="32" w:space="0"/>
          <w:bottom w:val="single" w:color="FFFFFF" w:themeColor="light1" w:sz="12" w:space="0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 w:customStyle="1">
    <w:name w:val="List Table 5 Dark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a1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a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a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a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a1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a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ned-Accent" w:customStyle="1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styleId="Lined-Accent2" w:customStyle="1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Lined-Accent3" w:customStyle="1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Lined-Accent4" w:customStyle="1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Lined-Accent5" w:customStyle="1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Lined-Accent6" w:customStyle="1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BorderedLined-Accent" w:customStyle="1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styleId="BorderedLined-Accent2" w:customStyle="1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BorderedLined-Accent3" w:customStyle="1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BorderedLined-Accent4" w:customStyle="1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BorderedLined-Accent5" w:customStyle="1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BorderedLined-Accent6" w:customStyle="1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Bordered" w:customStyle="1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styleId="Bordered-Accent2" w:customStyle="1">
    <w:name w:val="Bordered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styleId="Bordered-Accent3" w:customStyle="1">
    <w:name w:val="Bordered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styleId="Bordered-Accent4" w:customStyle="1">
    <w:name w:val="Bordered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</w:style>
  <w:style w:type="table" w:styleId="Bordered-Accent5" w:customStyle="1">
    <w:name w:val="Bordered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</w:style>
  <w:style w:type="table" w:styleId="Bordered-Accent6" w:customStyle="1">
    <w:name w:val="Bordered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character" w:styleId="aa" w:customStyle="1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styleId="ad" w:customStyle="1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styleId="ConsPlusNonformat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af1">
    <w:name w:val="No Spacing"/>
    <w:uiPriority w:val="1"/>
    <w:qFormat/>
    <w:rPr>
      <w:rFonts w:ascii="Times New Roman" w:hAnsi="Times New Roman"/>
    </w:rPr>
  </w:style>
  <w:style w:type="character" w:styleId="af2">
    <w:name w:val="Strong"/>
    <w:qFormat/>
    <w:rPr>
      <w:b/>
      <w:bCs/>
    </w:rPr>
  </w:style>
  <w:style w:type="paragraph" w:styleId="af3">
    <w:name w:val="header"/>
    <w:basedOn w:val="a"/>
    <w:link w:val="af4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0"/>
      <w:lang w:val="en-GB"/>
    </w:rPr>
  </w:style>
  <w:style w:type="character" w:styleId="af4" w:customStyle="1">
    <w:name w:val="Верхний колонтитул Знак"/>
    <w:link w:val="af3"/>
    <w:rPr>
      <w:rFonts w:ascii="Times New Roman" w:hAnsi="Times New Roman" w:eastAsia="Times New Roman" w:cs="Times New Roman"/>
      <w:sz w:val="24"/>
      <w:szCs w:val="20"/>
      <w:lang w:val="en-GB" w:eastAsia="ru-RU"/>
    </w:rPr>
  </w:style>
  <w:style w:type="paragraph" w:styleId="25">
    <w:name w:val="Body Text 2"/>
    <w:basedOn w:val="a"/>
    <w:link w:val="26"/>
    <w:pPr>
      <w:spacing w:after="120" w:line="480" w:lineRule="auto"/>
    </w:pPr>
    <w:rPr>
      <w:rFonts w:ascii="Times New Roman" w:hAnsi="Times New Roman"/>
      <w:sz w:val="24"/>
      <w:szCs w:val="20"/>
      <w:lang w:val="en-GB"/>
    </w:rPr>
  </w:style>
  <w:style w:type="character" w:styleId="26" w:customStyle="1">
    <w:name w:val="Основной текст 2 Знак"/>
    <w:link w:val="25"/>
    <w:rPr>
      <w:rFonts w:ascii="Times New Roman" w:hAnsi="Times New Roman" w:eastAsia="Times New Roman" w:cs="Times New Roman"/>
      <w:sz w:val="24"/>
      <w:szCs w:val="20"/>
      <w:lang w:val="en-GB" w:eastAsia="ru-RU"/>
    </w:rPr>
  </w:style>
  <w:style w:type="paragraph" w:styleId="af5">
    <w:name w:val="Body Text"/>
    <w:basedOn w:val="a"/>
    <w:link w:val="af6"/>
    <w:uiPriority w:val="99"/>
    <w:unhideWhenUsed/>
    <w:pPr>
      <w:spacing w:after="120"/>
    </w:pPr>
  </w:style>
  <w:style w:type="character" w:styleId="af6" w:customStyle="1">
    <w:name w:val="Основной текст Знак"/>
    <w:basedOn w:val="a0"/>
    <w:link w:val="af5"/>
    <w:uiPriority w:val="99"/>
  </w:style>
  <w:style w:type="character" w:styleId="10" w:customStyle="1">
    <w:name w:val="Заголовок 1 Знак"/>
    <w:link w:val="1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50" w:customStyle="1">
    <w:name w:val="Заголовок 5 Знак"/>
    <w:link w:val="5"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paragraph" w:styleId="af7">
    <w:name w:val="Title"/>
    <w:basedOn w:val="a"/>
    <w:link w:val="af8"/>
    <w:qFormat/>
    <w:pPr>
      <w:spacing w:after="0" w:line="240" w:lineRule="auto"/>
      <w:jc w:val="center"/>
    </w:pPr>
    <w:rPr>
      <w:rFonts w:ascii="Times New Roman" w:hAnsi="Times New Roman"/>
      <w:b/>
      <w:color w:val="000000"/>
      <w:szCs w:val="20"/>
    </w:rPr>
  </w:style>
  <w:style w:type="character" w:styleId="af8" w:customStyle="1">
    <w:name w:val="Заголовок Знак"/>
    <w:link w:val="af7"/>
    <w:rPr>
      <w:rFonts w:ascii="Times New Roman" w:hAnsi="Times New Roman" w:eastAsia="Times New Roman" w:cs="Times New Roman"/>
      <w:b/>
      <w:color w:val="000000"/>
      <w:sz w:val="28"/>
      <w:szCs w:val="20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fa" w:customStyle="1">
    <w:name w:val="Текст выноски Знак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styleId="afd" w:customStyle="1">
    <w:name w:val="Нижний колонтитул Знак"/>
    <w:basedOn w:val="a0"/>
    <w:link w:val="afc"/>
    <w:uiPriority w:val="99"/>
  </w:style>
  <w:style w:type="table" w:styleId="afe">
    <w:name w:val="Table Grid"/>
    <w:basedOn w:val="a1"/>
    <w:uiPriority w:val="59"/>
    <w:rPr>
      <w:rFonts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" w:customStyle="1">
    <w:name w:val="Сетка таблицы1"/>
    <w:basedOn w:val="a1"/>
    <w:next w:val="afe"/>
    <w:uiPriority w:val="59"/>
    <w:rPr>
      <w:rFonts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0" w:customStyle="1">
    <w:name w:val="Заголовок 2 Знак"/>
    <w:link w:val="2"/>
    <w:uiPriority w:val="9"/>
    <w:semiHidden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paragraph" w:styleId="aff">
    <w:name w:val="Revision"/>
    <w:hidden/>
    <w:uiPriority w:val="99"/>
    <w:semiHidden/>
    <w:rPr>
      <w:rFonts w:ascii="Franklin Gothic Book" w:hAnsi="Franklin Gothic Book"/>
      <w:sz w:val="28"/>
      <w:szCs w:val="22"/>
    </w:rPr>
  </w:style>
  <w:style w:type="character" w:styleId="aff0">
    <w:name w:val="Placeholder Text"/>
    <w:basedOn w:val="a0"/>
    <w:uiPriority w:val="99"/>
    <w:semiHidden/>
    <w:rPr>
      <w:color w:val="808080"/>
    </w:rPr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numbering" Target="numbering.xml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word/glossary/_rels/endnotes.xml.rels><?xml version="1.0" encoding="UTF-8" standalone="yes"?><Relationships xmlns="http://schemas.openxmlformats.org/package/2006/relationships"></Relationships>
</file>

<file path=word/glossary/_rels/footnotes.xml.rels><?xml version="1.0" encoding="UTF-8" standalone="yes"?><Relationships xmlns="http://schemas.openxmlformats.org/package/2006/relationships"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540116-F6D6-42C5-8737-B87798168D72}"/>
      </w:docPartPr>
      <w:docPartBody>
        <w:p>
          <w:pPr>
            <w:rPr>
              <w:rStyle w:val="afb"/>
            </w:rPr>
          </w:pPr>
          <w:r>
            <w:rPr>
              <w:rStyle w:val="afb"/>
            </w:rPr>
            <w:t xml:space="preserve">    </w:t>
          </w:r>
        </w:p>
      </w:docPartBody>
    </w:docPart>
    <w:docPart>
      <w:docPartPr>
        <w:name w:val="2266f63b2a064051a66a2b596810e0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86E7A8-4DCB-42C7-9A23-0B9061EEA163}"/>
      </w:docPartPr>
      <w:docPartBody>
        <w:p>
          <w:pPr>
            <w:rPr>
              <w:rStyle w:val="afb"/>
            </w:rPr>
          </w:pPr>
          <w:r>
            <w:rPr>
              <w:rStyle w:val="afb"/>
            </w:rPr>
            <w:t xml:space="preserve">    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0" w:customStyle="1">
    <w:name w:val="Заголовок 1 Знак"/>
    <w:basedOn w:val="a0"/>
    <w:link w:val="1"/>
    <w:uiPriority w:val="9"/>
    <w:rPr>
      <w:rFonts w:ascii="Arial" w:hAnsi="Arial" w:eastAsia="Arial" w:cs="Arial"/>
      <w:sz w:val="40"/>
      <w:szCs w:val="40"/>
    </w:rPr>
  </w:style>
  <w:style w:type="character" w:styleId="20" w:customStyle="1">
    <w:name w:val="Заголовок 2 Знак"/>
    <w:basedOn w:val="a0"/>
    <w:link w:val="2"/>
    <w:uiPriority w:val="9"/>
    <w:rPr>
      <w:rFonts w:ascii="Arial" w:hAnsi="Arial" w:eastAsia="Arial" w:cs="Arial"/>
      <w:sz w:val="34"/>
    </w:rPr>
  </w:style>
  <w:style w:type="character" w:styleId="30" w:customStyle="1">
    <w:name w:val="Заголовок 3 Знак"/>
    <w:basedOn w:val="a0"/>
    <w:link w:val="3"/>
    <w:uiPriority w:val="9"/>
    <w:rPr>
      <w:rFonts w:ascii="Arial" w:hAnsi="Arial" w:eastAsia="Arial" w:cs="Arial"/>
      <w:sz w:val="30"/>
      <w:szCs w:val="30"/>
    </w:rPr>
  </w:style>
  <w:style w:type="character" w:styleId="40" w:customStyle="1">
    <w:name w:val="Заголовок 4 Знак"/>
    <w:basedOn w:val="a0"/>
    <w:link w:val="4"/>
    <w:uiPriority w:val="9"/>
    <w:rPr>
      <w:rFonts w:ascii="Arial" w:hAnsi="Arial" w:eastAsia="Arial" w:cs="Arial"/>
      <w:b/>
      <w:bCs/>
      <w:sz w:val="26"/>
      <w:szCs w:val="26"/>
    </w:rPr>
  </w:style>
  <w:style w:type="character" w:styleId="50" w:customStyle="1">
    <w:name w:val="Заголовок 5 Знак"/>
    <w:basedOn w:val="a0"/>
    <w:link w:val="5"/>
    <w:uiPriority w:val="9"/>
    <w:rPr>
      <w:rFonts w:ascii="Arial" w:hAnsi="Arial" w:eastAsia="Arial" w:cs="Arial"/>
      <w:b/>
      <w:bCs/>
      <w:sz w:val="24"/>
      <w:szCs w:val="24"/>
    </w:rPr>
  </w:style>
  <w:style w:type="character" w:styleId="60" w:customStyle="1">
    <w:name w:val="Заголовок 6 Знак"/>
    <w:basedOn w:val="a0"/>
    <w:link w:val="6"/>
    <w:uiPriority w:val="9"/>
    <w:rPr>
      <w:rFonts w:ascii="Arial" w:hAnsi="Arial" w:eastAsia="Arial" w:cs="Arial"/>
      <w:b/>
      <w:bCs/>
      <w:sz w:val="22"/>
      <w:szCs w:val="22"/>
    </w:rPr>
  </w:style>
  <w:style w:type="character" w:styleId="70" w:customStyle="1">
    <w:name w:val="Заголовок 7 Знак"/>
    <w:basedOn w:val="a0"/>
    <w:link w:val="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" w:customStyle="1">
    <w:name w:val="Заголовок 8 Знак"/>
    <w:basedOn w:val="a0"/>
    <w:link w:val="8"/>
    <w:uiPriority w:val="9"/>
    <w:rPr>
      <w:rFonts w:ascii="Arial" w:hAnsi="Arial" w:eastAsia="Arial" w:cs="Arial"/>
      <w:i/>
      <w:iCs/>
      <w:sz w:val="22"/>
      <w:szCs w:val="22"/>
    </w:rPr>
  </w:style>
  <w:style w:type="character" w:styleId="90" w:customStyle="1">
    <w:name w:val="Заголовок 9 Знак"/>
    <w:basedOn w:val="a0"/>
    <w:link w:val="9"/>
    <w:uiPriority w:val="9"/>
    <w:rPr>
      <w:rFonts w:ascii="Arial" w:hAnsi="Arial" w:eastAsia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a6" w:customStyle="1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styleId="a8" w:customStyle="1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a" w:customStyle="1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styleId="ac" w:customStyle="1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styleId="ae" w:customStyle="1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af0" w:customStyle="1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Light" w:customStyle="1">
    <w:name w:val="Table Grid Light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styleId="GridTable1Light-Accent2" w:customStyle="1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styleId="GridTable1Light-Accent3" w:customStyle="1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styleId="GridTable1Light-Accent4" w:customStyle="1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</w:style>
  <w:style w:type="table" w:styleId="GridTable1Light-Accent5" w:customStyle="1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</w:style>
  <w:style w:type="table" w:styleId="GridTable1Light-Accent6" w:customStyle="1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styleId="GridTable2-Accent2" w:customStyle="1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2-Accent3" w:customStyle="1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2-Accent4" w:customStyle="1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2-Accent5" w:customStyle="1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2-Accent6" w:customStyle="1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styleId="GridTable3-Accent2" w:customStyle="1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3-Accent3" w:customStyle="1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3-Accent4" w:customStyle="1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3-Accent5" w:customStyle="1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3-Accent6" w:customStyle="1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styleId="GridTable4-Accent2" w:customStyle="1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4-Accent3" w:customStyle="1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4-Accent4" w:customStyle="1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4-Accent5" w:customStyle="1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4-Accent6" w:customStyle="1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band1Horz">
      <w:tcPr>
        <w:shd w:val="clear" w:color="b3d0eb" w:themeColor="accent1" w:themeTint="75" w:fill="b3d0eb" w:themeFill="accent1" w:themeFillTint="75"/>
      </w:tcPr>
    </w:tblStylePr>
  </w:style>
  <w:style w:type="table" w:styleId="GridTable5Dark-Accent2" w:customStyle="1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styleId="GridTable5Dark-Accent3" w:customStyle="1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styleId="GridTable5Dark-Accent4" w:customStyle="1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band1Horz">
      <w:tcPr>
        <w:shd w:val="clear" w:color="ffe28a" w:themeColor="accent4" w:themeTint="75" w:fill="ffe28a" w:themeFill="accent4" w:themeFillTint="75"/>
      </w:tcPr>
    </w:tblStylePr>
  </w:style>
  <w:style w:type="table" w:styleId="GridTable5Dark-Accent5" w:customStyle="1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band1Horz">
      <w:tcPr>
        <w:shd w:val="clear" w:color="a9bee4" w:themeColor="accent5" w:themeTint="75" w:fill="a9bee4" w:themeFill="accent5" w:themeFillTint="75"/>
      </w:tcPr>
    </w:tblStylePr>
  </w:style>
  <w:style w:type="table" w:styleId="GridTable5Dark-Accent6" w:customStyle="1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styleId="ListTable1Light-Accent2" w:customStyle="1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styleId="ListTable1Light-Accent3" w:customStyle="1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styleId="ListTable1Light-Accent4" w:customStyle="1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tcPr>
        <w:shd w:val="clear" w:color="ffefbf" w:themeColor="accent4" w:themeTint="40" w:fill="ffefbf" w:themeFill="accent4" w:themeFillTint="40"/>
      </w:tcPr>
    </w:tblStylePr>
  </w:style>
  <w:style w:type="table" w:styleId="ListTable1Light-Accent5" w:customStyle="1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tcPr>
        <w:shd w:val="clear" w:color="cfdbf0" w:themeColor="accent5" w:themeTint="40" w:fill="cfdbf0" w:themeFill="accent5" w:themeFillTint="40"/>
      </w:tcPr>
    </w:tblStylePr>
  </w:style>
  <w:style w:type="table" w:styleId="ListTable1Light-Accent6" w:customStyle="1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styleId="ListTable2-Accent2" w:customStyle="1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styleId="ListTable2-Accent3" w:customStyle="1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styleId="ListTable2-Accent4" w:customStyle="1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</w:style>
  <w:style w:type="table" w:styleId="ListTable2-Accent5" w:customStyle="1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</w:style>
  <w:style w:type="table" w:styleId="ListTable2-Accent6" w:customStyle="1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styleId="ListTable3-Accent2" w:customStyle="1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</w:style>
  <w:style w:type="table" w:styleId="ListTable3-Accent3" w:customStyle="1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styleId="ListTable3-Accent4" w:customStyle="1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</w:style>
  <w:style w:type="table" w:styleId="ListTable3-Accent5" w:customStyle="1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</w:style>
  <w:style w:type="table" w:styleId="ListTable3-Accent6" w:customStyle="1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styleId="ListTable4-Accent2" w:customStyle="1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styleId="ListTable4-Accent3" w:customStyle="1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styleId="ListTable4-Accent4" w:customStyle="1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</w:style>
  <w:style w:type="table" w:styleId="ListTable4-Accent5" w:customStyle="1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</w:style>
  <w:style w:type="table" w:styleId="ListTable4-Accent6" w:customStyle="1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styleId="ListTable5Dark-Accent2" w:customStyle="1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4B184" w:themeColor="accent2" w:themeTint="97" w:sz="32" w:space="0"/>
          <w:bottom w:val="single" w:color="FFFFFF" w:themeColor="light1" w:sz="12" w:space="0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 w:customStyle="1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 w:customStyle="1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FD865" w:themeColor="accent4" w:themeTint="9A" w:sz="32" w:space="0"/>
          <w:bottom w:val="single" w:color="FFFFFF" w:themeColor="light1" w:sz="12" w:space="0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 w:customStyle="1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8DA9DB" w:themeColor="accent5" w:themeTint="9A" w:sz="32" w:space="0"/>
          <w:bottom w:val="single" w:color="FFFFFF" w:themeColor="light1" w:sz="12" w:space="0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 w:customStyle="1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ned-Accent" w:customStyle="1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styleId="Lined-Accent2" w:customStyle="1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Lined-Accent3" w:customStyle="1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Lined-Accent4" w:customStyle="1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Lined-Accent5" w:customStyle="1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Lined-Accent6" w:customStyle="1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BorderedLined-Accent" w:customStyle="1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styleId="BorderedLined-Accent2" w:customStyle="1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BorderedLined-Accent3" w:customStyle="1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BorderedLined-Accent4" w:customStyle="1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BorderedLined-Accent5" w:customStyle="1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BorderedLined-Accent6" w:customStyle="1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Bordered" w:customStyle="1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styleId="Bordered-Accent2" w:customStyle="1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styleId="Bordered-Accent3" w:customStyle="1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styleId="Bordered-Accent4" w:customStyle="1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</w:style>
  <w:style w:type="table" w:styleId="Bordered-Accent5" w:customStyle="1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</w:style>
  <w:style w:type="table" w:styleId="Bordered-Accent6" w:customStyle="1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styleId="af4" w:customStyle="1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styleId="af7" w:customStyle="1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character" w:styleId="afb">
    <w:name w:val="Placeholder Text"/>
    <w:basedOn w:val="a0"/>
    <w:uiPriority w:val="99"/>
    <w:semiHidden/>
    <w:rPr>
      <w:color w:val="808080"/>
    </w:rPr>
  </w:style>
  <w:style w:type="paragraph" w:styleId="FCF38D3A78CC403D98DF28AB8687E320" w:customStyle="1">
    <w:name w:val="FCF38D3A78CC403D98DF28AB8687E320"/>
  </w:style>
  <w:style w:type="paragraph" w:styleId="11A4CBB927204C158842135C4C976BAA" w:customStyle="1">
    <w:name w:val="11A4CBB927204C158842135C4C976BAA"/>
  </w:style>
  <w:style w:type="paragraph" w:styleId="92105C2B494643629B32CBF692E2E285" w:customStyle="1">
    <w:name w:val="92105C2B494643629B32CBF692E2E285"/>
  </w:style>
  <w:style w:type="paragraph" w:styleId="ECBE007F85E346BE92E3998874A4B64F" w:customStyle="1">
    <w:name w:val="ECBE007F85E346BE92E3998874A4B64F"/>
  </w:style>
  <w:style w:type="paragraph" w:styleId="CEFCC0DFFFF448F58644C9BA90917743" w:customStyle="1">
    <w:name w:val="CEFCC0DFFFF448F58644C9BA90917743"/>
  </w:style>
  <w:style w:type="paragraph" w:styleId="5D26F8408FC245FEBEE525E972D78FA1" w:customStyle="1">
    <w:name w:val="5D26F8408FC245FEBEE525E972D78FA1"/>
  </w:style>
  <w:style w:type="paragraph" w:styleId="BE375F2B27CE403ABE3021F85084D4A3" w:customStyle="1">
    <w:name w:val="BE375F2B27CE403ABE3021F85084D4A3"/>
  </w:style>
  <w:style w:type="paragraph" w:styleId="9F3260BA8B6F417B96A40BE78BA027C8" w:customStyle="1">
    <w:name w:val="9F3260BA8B6F417B96A40BE78BA027C8"/>
  </w:style>
  <w:style w:type="paragraph" w:styleId="42376F7EE3584BEEA0214D5EDB9B99C1" w:customStyle="1">
    <w:name w:val="42376F7EE3584BEEA0214D5EDB9B99C1"/>
  </w:style>
  <w:style w:type="paragraph" w:styleId="9466E8B490054348B3CD2CF2D7854941" w:customStyle="1">
    <w:name w:val="9466E8B490054348B3CD2CF2D7854941"/>
  </w:style>
  <w:style w:type="paragraph" w:styleId="B079EA8B5B01453B8CC641EA34234BBF" w:customStyle="1">
    <w:name w:val="B079EA8B5B01453B8CC641EA34234BBF"/>
  </w:style>
  <w:style w:type="paragraph" w:styleId="A6B9BCF1FB9246459E392BFD3996F6B1" w:customStyle="1">
    <w:name w:val="A6B9BCF1FB9246459E392BFD3996F6B1"/>
  </w:style>
  <w:style w:type="paragraph" w:styleId="FA2D2CAA324C4246B6977165400F9141" w:customStyle="1">
    <w:name w:val="FA2D2CAA324C4246B6977165400F9141"/>
  </w:style>
  <w:style w:type="paragraph" w:styleId="E42D873784694DF6A9DCD010191D1085" w:customStyle="1">
    <w:name w:val="E42D873784694DF6A9DCD010191D1085"/>
  </w:style>
  <w:style w:type="paragraph" w:styleId="F5DBBEFF39E04E7E888E8DF87F84AF19" w:customStyle="1">
    <w:name w:val="F5DBBEFF39E04E7E888E8DF87F84AF19"/>
  </w:style>
  <w:style w:type="paragraph" w:styleId="8AF5966C63664E8288634FD4BD6D8A86" w:customStyle="1">
    <w:name w:val="8AF5966C63664E8288634FD4BD6D8A86"/>
  </w:style>
  <w:style w:type="paragraph" w:styleId="C9F951227C8C411889035CA235A3807A" w:customStyle="1">
    <w:name w:val="C9F951227C8C411889035CA235A3807A"/>
  </w:style>
  <w:style w:type="paragraph" w:styleId="4BCCF464EF454B65A3B446C2337B76C7" w:customStyle="1">
    <w:name w:val="4BCCF464EF454B65A3B446C2337B76C7"/>
  </w:style>
  <w:style w:type="paragraph" w:styleId="6AF4B93744A1490EBD796A16C5FB260F" w:customStyle="1">
    <w:name w:val="6AF4B93744A1490EBD796A16C5FB260F"/>
  </w:style>
  <w:style w:type="paragraph" w:styleId="B0BF111407854DDAA235CEB1603B5833" w:customStyle="1">
    <w:name w:val="B0BF111407854DDAA235CEB1603B5833"/>
  </w:style>
  <w:style w:type="paragraph" w:styleId="709A4E2F3B654D908AAF5C8FF948E42C" w:customStyle="1">
    <w:name w:val="709A4E2F3B654D908AAF5C8FF948E42C"/>
  </w:style>
  <w:style w:type="paragraph" w:styleId="54CFB1B9CE204BF8BEFFDE397770094D" w:customStyle="1">
    <w:name w:val="54CFB1B9CE204BF8BEFFDE397770094D"/>
  </w:style>
  <w:style w:type="paragraph" w:styleId="54E22510715C4431B1AE347ED49280B4" w:customStyle="1">
    <w:name w:val="54E22510715C4431B1AE347ED49280B4"/>
  </w:style>
  <w:style w:type="paragraph" w:styleId="80A647A526764F34A7D6AF428030276A" w:customStyle="1">
    <w:name w:val="80A647A526764F34A7D6AF428030276A"/>
  </w:style>
  <w:style w:type="paragraph" w:styleId="C975EB6406064D31A2FBA59432EC5A92" w:customStyle="1">
    <w:name w:val="C975EB6406064D31A2FBA59432EC5A92"/>
  </w:style>
  <w:style w:type="paragraph" w:styleId="D55DFCC58FDA416EB7EAE2298EF417A6" w:customStyle="1">
    <w:name w:val="D55DFCC58FDA416EB7EAE2298EF417A6"/>
  </w:style>
  <w:style w:type="paragraph" w:styleId="C93D342DB86D4F75898ED11AB36AF416" w:customStyle="1">
    <w:name w:val="C93D342DB86D4F75898ED11AB36AF416"/>
  </w:style>
  <w:style w:type="paragraph" w:styleId="8D07538E290E4F77932BD5E8467ADFC4" w:customStyle="1">
    <w:name w:val="8D07538E290E4F77932BD5E8467ADFC4"/>
  </w:style>
  <w:style w:type="paragraph" w:styleId="71B507055B98446881A464E52007F8FE" w:customStyle="1">
    <w:name w:val="71B507055B98446881A464E52007F8FE"/>
  </w:style>
  <w:style w:type="paragraph" w:styleId="18C89C424FB245AE90B0F9EBA573E665" w:customStyle="1">
    <w:name w:val="18C89C424FB245AE90B0F9EBA573E665"/>
  </w:style>
  <w:style w:type="paragraph" w:styleId="32070C22E4854D82A53B87F1826B1E88" w:customStyle="1">
    <w:name w:val="32070C22E4854D82A53B87F1826B1E88"/>
  </w:style>
  <w:style w:type="paragraph" w:styleId="64B3A20D4AA64D34A7F98BB89F15761E" w:customStyle="1">
    <w:name w:val="64B3A20D4AA64D34A7F98BB89F15761E"/>
  </w:style>
  <w:style w:type="paragraph" w:styleId="332F492610BB4C9F960AC1E6BEF763DF" w:customStyle="1">
    <w:name w:val="332F492610BB4C9F960AC1E6BEF763DF"/>
  </w:style>
  <w:style w:type="paragraph" w:styleId="ADC248E70D9F47898D3C85C7103192B2" w:customStyle="1">
    <w:name w:val="ADC248E70D9F47898D3C85C7103192B2"/>
  </w:style>
  <w:style w:type="paragraph" w:styleId="1CEAC4BD80FA44BC8B1019CA45CD20DC" w:customStyle="1">
    <w:name w:val="1CEAC4BD80FA44BC8B1019CA45CD20DC"/>
  </w:style>
  <w:style w:type="paragraph" w:styleId="BA4A7A83D4AF4ACEAA589CB4C7ECD6A1" w:customStyle="1">
    <w:name w:val="BA4A7A83D4AF4ACEAA589CB4C7ECD6A1"/>
  </w:style>
  <w:style w:type="paragraph" w:styleId="F057FBD48F2342B3B089320B619ABCD6" w:customStyle="1">
    <w:name w:val="F057FBD48F2342B3B089320B619ABCD6"/>
  </w:style>
  <w:style w:type="paragraph" w:styleId="CE1E10002E87462299E501014D95B3E7" w:customStyle="1">
    <w:name w:val="CE1E10002E87462299E501014D95B3E7"/>
  </w:style>
  <w:style w:type="paragraph" w:styleId="DEE965899D5F48738633952ABDCBCB3C" w:customStyle="1">
    <w:name w:val="DEE965899D5F48738633952ABDCBCB3C"/>
  </w:style>
  <w:style w:type="paragraph" w:styleId="74D1422DD925445B957093E3AF4F61FF" w:customStyle="1">
    <w:name w:val="74D1422DD925445B957093E3AF4F61FF"/>
  </w:style>
  <w:style w:type="paragraph" w:styleId="ACF9CC0261A142BD903B88A0B82BF4A8" w:customStyle="1">
    <w:name w:val="ACF9CC0261A142BD903B88A0B82BF4A8"/>
  </w:style>
  <w:style w:type="paragraph" w:styleId="42651EB6C79B47018C8A07D81982D721" w:customStyle="1">
    <w:name w:val="42651EB6C79B47018C8A07D81982D721"/>
  </w:style>
  <w:style w:type="paragraph" w:styleId="D11790923FF04FC78880AED16CA2AB9E" w:customStyle="1">
    <w:name w:val="D11790923FF04FC78880AED16CA2AB9E"/>
  </w:style>
  <w:style w:type="paragraph" w:styleId="8695D9F9D3CF48719180F2BE5C0643C3" w:customStyle="1">
    <w:name w:val="8695D9F9D3CF48719180F2BE5C0643C3"/>
  </w:style>
  <w:style w:type="paragraph" w:styleId="BBC7531BF1634A14BBCB851BEE5E60D9" w:customStyle="1">
    <w:name w:val="BBC7531BF1634A14BBCB851BEE5E60D9"/>
  </w:style>
  <w:style w:type="paragraph" w:styleId="FEE8A3357462401B8BFFF0DAE258219D" w:customStyle="1">
    <w:name w:val="FEE8A3357462401B8BFFF0DAE258219D"/>
  </w:style>
  <w:style w:type="paragraph" w:styleId="B1DAF567AA0D4C7EB9CC4C90E024F206" w:customStyle="1">
    <w:name w:val="B1DAF567AA0D4C7EB9CC4C90E024F206"/>
  </w:style>
  <w:style w:type="paragraph" w:styleId="D8DD0160A79A4C018409D09CFAD65385" w:customStyle="1">
    <w:name w:val="D8DD0160A79A4C018409D09CFAD65385"/>
  </w:style>
  <w:style w:type="paragraph" w:styleId="68C85052FC324C5AB42329C11C0BF856" w:customStyle="1">
    <w:name w:val="68C85052FC324C5AB42329C11C0BF856"/>
  </w:style>
  <w:style w:type="paragraph" w:styleId="7DCA68BCCFD3419CA28AF993205A4986" w:customStyle="1">
    <w:name w:val="7DCA68BCCFD3419CA28AF993205A4986"/>
  </w:style>
  <w:style w:type="paragraph" w:styleId="F8E757D5D6C94A99A5433ECAD965B68E" w:customStyle="1">
    <w:name w:val="F8E757D5D6C94A99A5433ECAD965B68E"/>
  </w:style>
  <w:style w:type="paragraph" w:styleId="6F77C60F79534527BEB1FCD57F8C5882" w:customStyle="1">
    <w:name w:val="6F77C60F79534527BEB1FCD57F8C5882"/>
  </w:style>
  <w:style w:type="paragraph" w:styleId="3CAE774799384D07B15348DBD3696381" w:customStyle="1">
    <w:name w:val="3CAE774799384D07B15348DBD3696381"/>
  </w:style>
  <w:style w:type="paragraph" w:styleId="5416DA0709C14BEABA8D239950864681" w:customStyle="1">
    <w:name w:val="5416DA0709C14BEABA8D239950864681"/>
  </w:style>
  <w:style w:type="paragraph" w:styleId="1A88EE134A5A44F7893636A81B5EF6D8" w:customStyle="1">
    <w:name w:val="1A88EE134A5A44F7893636A81B5EF6D8"/>
  </w:style>
  <w:style w:type="paragraph" w:styleId="854B1084D82F4C5BA042C949E5F4FED3" w:customStyle="1">
    <w:name w:val="854B1084D82F4C5BA042C949E5F4FED3"/>
  </w:style>
  <w:style w:type="paragraph" w:styleId="A42E226E460247088097BB32B0067C59" w:customStyle="1">
    <w:name w:val="A42E226E460247088097BB32B0067C59"/>
  </w:style>
  <w:style w:type="paragraph" w:styleId="A1799B8B7B144B4784A38988F2E70A38" w:customStyle="1">
    <w:name w:val="A1799B8B7B144B4784A38988F2E70A38"/>
  </w:style>
  <w:style w:type="paragraph" w:styleId="AED8321750DB49DEA8C4590D5BBF94DF" w:customStyle="1">
    <w:name w:val="AED8321750DB49DEA8C4590D5BBF94DF"/>
  </w:style>
  <w:style w:type="paragraph" w:styleId="C48D899C4645497B81C1B3C5D209C134" w:customStyle="1">
    <w:name w:val="C48D899C4645497B81C1B3C5D209C134"/>
  </w:style>
  <w:style w:type="paragraph" w:styleId="46AF5D937A55464882B24BE06DEAE24C" w:customStyle="1">
    <w:name w:val="46AF5D937A55464882B24BE06DEAE24C"/>
  </w:style>
  <w:style w:type="paragraph" w:styleId="C692C26C2A30439F93EBB4A00F120CAF" w:customStyle="1">
    <w:name w:val="C692C26C2A30439F93EBB4A00F120CAF"/>
  </w:style>
  <w:style w:type="paragraph" w:styleId="6FD37053A65041A78CC7F3075D3309E6" w:customStyle="1">
    <w:name w:val="6FD37053A65041A78CC7F3075D3309E6"/>
  </w:style>
  <w:style w:type="paragraph" w:styleId="8525A8FFAB674E6084B7D2BE8B4351DF" w:customStyle="1">
    <w:name w:val="8525A8FFAB674E6084B7D2BE8B4351DF"/>
  </w:style>
  <w:style w:type="paragraph" w:styleId="2E66985711724292ABA9FB322C048B59" w:customStyle="1">
    <w:name w:val="2E66985711724292ABA9FB322C048B59"/>
  </w:style>
  <w:style w:type="paragraph" w:styleId="699F0078FFB747EA94002ACED512E5FF" w:customStyle="1">
    <w:name w:val="699F0078FFB747EA94002ACED512E5FF"/>
  </w:style>
  <w:style w:type="paragraph" w:styleId="BA1BDF0A4DC44F9999B79ADFC0E2497A" w:customStyle="1">
    <w:name w:val="BA1BDF0A4DC44F9999B79ADFC0E2497A"/>
  </w:style>
  <w:style w:type="paragraph" w:styleId="37E0AA2D35A440039A992867EDE84DC8" w:customStyle="1">
    <w:name w:val="37E0AA2D35A440039A992867EDE84DC8"/>
  </w:style>
  <w:style w:type="paragraph" w:styleId="90287B3B8A3646D79D01674AB9E85FC7" w:customStyle="1">
    <w:name w:val="90287B3B8A3646D79D01674AB9E85FC7"/>
  </w:style>
  <w:style w:type="paragraph" w:styleId="2E89BF0910294FEB8867696DF639667D" w:customStyle="1">
    <w:name w:val="2E89BF0910294FEB8867696DF639667D"/>
  </w:style>
  <w:style w:type="paragraph" w:styleId="B75EF09D15A04A6D8B8F973B9BD94577" w:customStyle="1">
    <w:name w:val="B75EF09D15A04A6D8B8F973B9BD94577"/>
  </w:style>
  <w:style w:type="paragraph" w:styleId="C6E6628E5D9449D9ADE91113FE093AF6" w:customStyle="1">
    <w:name w:val="C6E6628E5D9449D9ADE91113FE093AF6"/>
  </w:style>
  <w:style w:type="paragraph" w:styleId="0F53AE440DD64B5AA8B6381B7D418A50" w:customStyle="1">
    <w:name w:val="0F53AE440DD64B5AA8B6381B7D418A50"/>
  </w:style>
  <w:style w:type="paragraph" w:styleId="5CFC88A56E934527B3FA6BBEFFAF3397" w:customStyle="1">
    <w:name w:val="5CFC88A56E934527B3FA6BBEFFAF3397"/>
  </w:style>
  <w:style w:type="paragraph" w:styleId="F591D986FECC40BA9EF8C3478139FBAE" w:customStyle="1">
    <w:name w:val="F591D986FECC40BA9EF8C3478139FBAE"/>
  </w:style>
  <w:style w:type="paragraph" w:styleId="23DED65B64644338B361FA10D433507C" w:customStyle="1">
    <w:name w:val="23DED65B64644338B361FA10D433507C"/>
  </w:style>
  <w:style w:type="paragraph" w:styleId="FF312F4A3FA04366822463BA3F2D2A34" w:customStyle="1">
    <w:name w:val="FF312F4A3FA04366822463BA3F2D2A34"/>
  </w:style>
  <w:style w:type="paragraph" w:styleId="2863E0A4D3BE4E4C8990220592F2D897" w:customStyle="1">
    <w:name w:val="2863E0A4D3BE4E4C8990220592F2D897"/>
  </w:style>
  <w:style w:type="paragraph" w:styleId="31EBE2D93E144AFF86434B088A13A13B" w:customStyle="1">
    <w:name w:val="31EBE2D93E144AFF86434B088A13A13B"/>
  </w:style>
  <w:style w:type="paragraph" w:styleId="E76C3BC4ED144E2E93AA2D832E44CC65" w:customStyle="1">
    <w:name w:val="E76C3BC4ED144E2E93AA2D832E44CC65"/>
  </w:style>
  <w:style w:type="paragraph" w:styleId="AED38D268C3A45B094C0CCB41A814CFA" w:customStyle="1">
    <w:name w:val="AED38D268C3A45B094C0CCB41A814CFA"/>
  </w:style>
  <w:style w:type="paragraph" w:styleId="245B7A8E6CCB4ABDB100F354BFB3F63D" w:customStyle="1">
    <w:name w:val="245B7A8E6CCB4ABDB100F354BFB3F63D"/>
  </w:style>
  <w:style w:type="paragraph" w:styleId="E3CEF55EDED54013A6B2F37B31C02D15" w:customStyle="1">
    <w:name w:val="E3CEF55EDED54013A6B2F37B31C02D15"/>
  </w:style>
  <w:style w:type="paragraph" w:styleId="6E753062A7C946239F222F5D5E9280F4" w:customStyle="1">
    <w:name w:val="6E753062A7C946239F222F5D5E9280F4"/>
  </w:style>
  <w:style w:type="paragraph" w:styleId="6FDF26730C5D473BA42104444784AD5F" w:customStyle="1">
    <w:name w:val="6FDF26730C5D473BA42104444784AD5F"/>
  </w:style>
  <w:style w:type="paragraph" w:styleId="97AB6903A7214E8BB94EB696D9FBC0CE" w:customStyle="1">
    <w:name w:val="97AB6903A7214E8BB94EB696D9FBC0CE"/>
  </w:style>
  <w:style w:type="paragraph" w:styleId="5C891B603858465FAB2D09E7CE38EAA3" w:customStyle="1">
    <w:name w:val="5C891B603858465FAB2D09E7CE38EAA3"/>
  </w:style>
  <w:style w:type="paragraph" w:styleId="3194E00797BA4CDBA0E02ABEC51ECD78" w:customStyle="1">
    <w:name w:val="3194E00797BA4CDBA0E02ABEC51ECD78"/>
  </w:style>
  <w:style w:type="paragraph" w:styleId="D166BFAAED984C48AF3E2D416066F438" w:customStyle="1">
    <w:name w:val="D166BFAAED984C48AF3E2D416066F438"/>
  </w:style>
  <w:style w:type="paragraph" w:styleId="DEAF9E57E7614A60AA4DB4A7EEEDCB51" w:customStyle="1">
    <w:name w:val="DEAF9E57E7614A60AA4DB4A7EEEDCB51"/>
  </w:style>
  <w:style w:type="paragraph" w:styleId="19D04D624D514B379B62DD2389EAE560" w:customStyle="1">
    <w:name w:val="19D04D624D514B379B62DD2389EAE560"/>
  </w:style>
  <w:style w:type="paragraph" w:styleId="2FAB39F0634A473EBF38B743EB1D9322" w:customStyle="1">
    <w:name w:val="2FAB39F0634A473EBF38B743EB1D9322"/>
  </w:style>
  <w:style w:type="paragraph" w:styleId="4C4917822DEB4CC4B2B84435CBB71F39" w:customStyle="1">
    <w:name w:val="4C4917822DEB4CC4B2B84435CBB71F39"/>
  </w:style>
  <w:style w:type="paragraph" w:styleId="C70F0E1578DD4F3BBCC5C9CD4CD3671C" w:customStyle="1">
    <w:name w:val="C70F0E1578DD4F3BBCC5C9CD4CD3671C"/>
  </w:style>
  <w:style w:type="paragraph" w:styleId="B7DD8AF56E444052A065A99A6A9A22C2" w:customStyle="1">
    <w:name w:val="B7DD8AF56E444052A065A99A6A9A22C2"/>
  </w:style>
  <w:style w:type="paragraph" w:styleId="C16E709F7D454634B39AC10C2F296187" w:customStyle="1">
    <w:name w:val="C16E709F7D454634B39AC10C2F296187"/>
  </w:style>
  <w:style w:type="paragraph" w:styleId="1F529C306F08478B9E70B3CDDD662EC2" w:customStyle="1">
    <w:name w:val="1F529C306F08478B9E70B3CDDD662EC2"/>
  </w:style>
  <w:style w:type="paragraph" w:styleId="FFA069845F8E49879DAF4C2E63F6EC5C" w:customStyle="1">
    <w:name w:val="FFA069845F8E49879DAF4C2E63F6EC5C"/>
  </w:style>
  <w:style w:type="paragraph" w:styleId="F7930EC7AB9F4538BC4613672D3E2422" w:customStyle="1">
    <w:name w:val="F7930EC7AB9F4538BC4613672D3E2422"/>
  </w:style>
  <w:style w:type="paragraph" w:styleId="248F9887487B4803AE0A7D65C305FF49" w:customStyle="1">
    <w:name w:val="248F9887487B4803AE0A7D65C305FF49"/>
  </w:style>
  <w:style w:type="paragraph" w:styleId="DAF2FE5641F3488BBA9CED440AEBF647" w:customStyle="1">
    <w:name w:val="DAF2FE5641F3488BBA9CED440AEBF647"/>
  </w:style>
  <w:style w:type="paragraph" w:styleId="F428E3865E45413EB2FF62521497D419" w:customStyle="1">
    <w:name w:val="F428E3865E45413EB2FF62521497D419"/>
  </w:style>
  <w:style w:type="paragraph" w:styleId="01769C9F081F447C99948414571B5FA1" w:customStyle="1">
    <w:name w:val="01769C9F081F447C99948414571B5FA1"/>
  </w:style>
  <w:style w:type="paragraph" w:styleId="5CD824213CB54997B10294F7351DB98E" w:customStyle="1">
    <w:name w:val="5CD824213CB54997B10294F7351DB98E"/>
  </w:style>
  <w:style w:type="paragraph" w:styleId="99BCB703F3A647E7AD9A7BF264E4D03F" w:customStyle="1">
    <w:name w:val="99BCB703F3A647E7AD9A7BF264E4D03F"/>
  </w:style>
  <w:style w:type="paragraph" w:styleId="DFC304A04E144159B7B7639BCA5D531D" w:customStyle="1">
    <w:name w:val="DFC304A04E144159B7B7639BCA5D531D"/>
  </w:style>
  <w:style w:type="paragraph" w:styleId="A4032C3CE9CB48C7A20D3822FBE0A2D6" w:customStyle="1">
    <w:name w:val="A4032C3CE9CB48C7A20D3822FBE0A2D6"/>
  </w:style>
  <w:style w:type="paragraph" w:styleId="CCE5EDDB5E614C05AD6EF31C59D18DB0" w:customStyle="1">
    <w:name w:val="CCE5EDDB5E614C05AD6EF31C59D18DB0"/>
  </w:style>
  <w:style w:type="paragraph" w:styleId="FF7A12A8934E4B83809109B53CE1702F" w:customStyle="1">
    <w:name w:val="FF7A12A8934E4B83809109B53CE1702F"/>
  </w:style>
  <w:style w:type="paragraph" w:styleId="6EC1D6AA56964D93BB41F6AC2ADD209A" w:customStyle="1">
    <w:name w:val="6EC1D6AA56964D93BB41F6AC2ADD209A"/>
  </w:style>
  <w:style w:type="paragraph" w:styleId="A5FA9412B78444D487F3EA1B09D1D29C" w:customStyle="1">
    <w:name w:val="A5FA9412B78444D487F3EA1B09D1D29C"/>
  </w:style>
  <w:style w:type="paragraph" w:styleId="03E42E70A3E645C29E0EB6F6C11933B8" w:customStyle="1">
    <w:name w:val="03E42E70A3E645C29E0EB6F6C11933B8"/>
  </w:style>
  <w:style w:type="paragraph" w:styleId="0CD299AE392B4C289710F46CE5719EC9" w:customStyle="1">
    <w:name w:val="0CD299AE392B4C289710F46CE5719EC9"/>
  </w:style>
  <w:style w:type="paragraph" w:styleId="D0088588647A443BB88B33AC09835F85" w:customStyle="1">
    <w:name w:val="D0088588647A443BB88B33AC09835F85"/>
  </w:style>
  <w:style w:type="paragraph" w:styleId="6AAABF1362084517B64031DBE5088ADF" w:customStyle="1">
    <w:name w:val="6AAABF1362084517B64031DBE5088ADF"/>
  </w:style>
  <w:style w:type="paragraph" w:styleId="DCE142270F4B4B808BB0E265006CF7DA" w:customStyle="1">
    <w:name w:val="DCE142270F4B4B808BB0E265006CF7DA"/>
  </w:style>
  <w:style w:type="paragraph" w:styleId="2A4BD19850D046F78B46F4DA58CB65B4" w:customStyle="1">
    <w:name w:val="2A4BD19850D046F78B46F4DA58CB65B4"/>
  </w:style>
  <w:style w:type="paragraph" w:styleId="6F3C8BDCD5E64E568006682AC74B3A7E" w:customStyle="1">
    <w:name w:val="6F3C8BDCD5E64E568006682AC74B3A7E"/>
  </w:style>
  <w:style w:type="paragraph" w:styleId="0CF557971DF74A87B3F39401078E0E36" w:customStyle="1">
    <w:name w:val="0CF557971DF74A87B3F39401078E0E36"/>
  </w:style>
  <w:style w:type="paragraph" w:styleId="834B8E5F05E445159F6A746B5BE469F8" w:customStyle="1">
    <w:name w:val="834B8E5F05E445159F6A746B5BE469F8"/>
  </w:style>
  <w:style w:type="paragraph" w:styleId="347928FA625B432881D595D918836ED4" w:customStyle="1">
    <w:name w:val="347928FA625B432881D595D918836ED4"/>
  </w:style>
  <w:style w:type="paragraph" w:styleId="4BBACEB2FA6A4CA58E35672AC9D9FA2C" w:customStyle="1">
    <w:name w:val="4BBACEB2FA6A4CA58E35672AC9D9FA2C"/>
  </w:style>
  <w:style w:type="paragraph" w:styleId="E8327FF0B6D7474092B91608A01F41A2" w:customStyle="1">
    <w:name w:val="E8327FF0B6D7474092B91608A01F41A2"/>
  </w:style>
  <w:style w:type="paragraph" w:styleId="242DA5C8484140BE96FCB773130EDD64" w:customStyle="1">
    <w:name w:val="242DA5C8484140BE96FCB773130EDD64"/>
  </w:style>
  <w:style w:type="paragraph" w:styleId="DAE9140FC15C44F5BBDBB6F9541395F1" w:customStyle="1">
    <w:name w:val="DAE9140FC15C44F5BBDBB6F9541395F1"/>
  </w:style>
  <w:style w:type="paragraph" w:styleId="97D3646ED6644062AF934BBD8327D06F" w:customStyle="1">
    <w:name w:val="97D3646ED6644062AF934BBD8327D06F"/>
  </w:style>
  <w:style w:type="paragraph" w:styleId="509C3397C63F499F92387E1AAF43BB38" w:customStyle="1">
    <w:name w:val="509C3397C63F499F92387E1AAF43BB38"/>
  </w:style>
  <w:style w:type="paragraph" w:styleId="8710304792A3498A8330C9F0A84C903F" w:customStyle="1">
    <w:name w:val="8710304792A3498A8330C9F0A84C903F"/>
  </w:style>
  <w:style w:type="paragraph" w:styleId="C5A50DC792A04B9F982FD28026A361F0" w:customStyle="1">
    <w:name w:val="C5A50DC792A04B9F982FD28026A361F0"/>
  </w:style>
  <w:style w:type="paragraph" w:styleId="FE6075497759484E8C1B28659BA3227F" w:customStyle="1">
    <w:name w:val="FE6075497759484E8C1B28659BA3227F"/>
  </w:style>
  <w:style w:type="paragraph" w:styleId="EB8EE4D560EF489CB9E6AAC2A002DF95" w:customStyle="1">
    <w:name w:val="EB8EE4D560EF489CB9E6AAC2A002DF95"/>
  </w:style>
  <w:style w:type="paragraph" w:styleId="2B1078BE522144AA8461E63F328E778E" w:customStyle="1">
    <w:name w:val="2B1078BE522144AA8461E63F328E778E"/>
  </w:style>
  <w:style w:type="paragraph" w:styleId="FFEA8D64B05A42EAABCA3AE30FF0FCC4" w:customStyle="1">
    <w:name w:val="FFEA8D64B05A42EAABCA3AE30FF0FCC4"/>
  </w:style>
  <w:style w:type="paragraph" w:styleId="BDF1A284E05D489D854221B7FC364DEE" w:customStyle="1">
    <w:name w:val="BDF1A284E05D489D854221B7FC364DEE"/>
  </w:style>
  <w:style w:type="paragraph" w:styleId="EB7169947C85439AA1EF673CFE29F600" w:customStyle="1">
    <w:name w:val="EB7169947C85439AA1EF673CFE29F600"/>
  </w:style>
  <w:style w:type="paragraph" w:styleId="6D331F5BEA4C4F9584F46246ED696DD1" w:customStyle="1">
    <w:name w:val="6D331F5BEA4C4F9584F46246ED696DD1"/>
  </w:style>
  <w:style w:type="paragraph" w:styleId="39242733F14F472B9DCBE1ECBCC5FAEF" w:customStyle="1">
    <w:name w:val="39242733F14F472B9DCBE1ECBCC5FAEF"/>
  </w:style>
  <w:style w:type="paragraph" w:styleId="D4B2E2C2371E41DCB76920AEADC91FBF" w:customStyle="1">
    <w:name w:val="D4B2E2C2371E41DCB76920AEADC91FBF"/>
  </w:style>
  <w:style w:type="paragraph" w:styleId="3FD18355F1EA4CAA9A32DC7398E9A9A7" w:customStyle="1">
    <w:name w:val="3FD18355F1EA4CAA9A32DC7398E9A9A7"/>
  </w:style>
  <w:style w:type="paragraph" w:styleId="130DDB9B012444868C148F6292BDB134" w:customStyle="1">
    <w:name w:val="130DDB9B012444868C148F6292BDB134"/>
  </w:style>
  <w:style w:type="paragraph" w:styleId="88CAA4A5B7FE4BCD9641E1E8A6A4865D" w:customStyle="1">
    <w:name w:val="88CAA4A5B7FE4BCD9641E1E8A6A4865D"/>
  </w:style>
  <w:style w:type="paragraph" w:styleId="810179B6609A47CEBAF028A31B34D722" w:customStyle="1">
    <w:name w:val="810179B6609A47CEBAF028A31B34D722"/>
  </w:style>
  <w:style w:type="paragraph" w:styleId="A0F0EBC5DDAB48E9BDDE6950799273B1" w:customStyle="1">
    <w:name w:val="A0F0EBC5DDAB48E9BDDE6950799273B1"/>
  </w:style>
  <w:style w:type="paragraph" w:styleId="828C41D131C94DA8BF3C08B462B4B4DF" w:customStyle="1">
    <w:name w:val="828C41D131C94DA8BF3C08B462B4B4DF"/>
  </w:style>
  <w:style w:type="paragraph" w:styleId="C6A7F460E7AD4A97B458F0B139EE32EE" w:customStyle="1">
    <w:name w:val="C6A7F460E7AD4A97B458F0B139EE32EE"/>
  </w:style>
  <w:style w:type="paragraph" w:styleId="E1F14E2749214015AEBED3A9753190E4" w:customStyle="1">
    <w:name w:val="E1F14E2749214015AEBED3A9753190E4"/>
  </w:style>
  <w:style w:type="paragraph" w:styleId="2A5EDD1CCE104121B514576C35CDA9CB" w:customStyle="1">
    <w:name w:val="2A5EDD1CCE104121B514576C35CDA9CB"/>
  </w:style>
  <w:style w:type="paragraph" w:styleId="0F40687FBFFB44688B6239346CE6F1DC" w:customStyle="1">
    <w:name w:val="0F40687FBFFB44688B6239346CE6F1DC"/>
  </w:style>
  <w:style w:type="paragraph" w:styleId="0AAEE0BA95F54CE2945CAE157BEED540" w:customStyle="1">
    <w:name w:val="0AAEE0BA95F54CE2945CAE157BEED540"/>
  </w:style>
  <w:style w:type="paragraph" w:styleId="7197D583674E43799EF362F5D49AC3D0" w:customStyle="1">
    <w:name w:val="7197D583674E43799EF362F5D49AC3D0"/>
  </w:style>
  <w:style w:type="paragraph" w:styleId="382A67259CB342E59A39142CD65E0AF0" w:customStyle="1">
    <w:name w:val="382A67259CB342E59A39142CD65E0AF0"/>
  </w:style>
  <w:style w:type="paragraph" w:styleId="2FA5CF69A4BF4D40910CB472CA9D4074" w:customStyle="1">
    <w:name w:val="2FA5CF69A4BF4D40910CB472CA9D4074"/>
  </w:style>
  <w:style w:type="paragraph" w:styleId="983240D73BC24AA28CF2BA3E6DCA19B7" w:customStyle="1">
    <w:name w:val="983240D73BC24AA28CF2BA3E6DCA19B7"/>
  </w:style>
  <w:style w:type="paragraph" w:styleId="4031126F51084A9A86CD046FD060BD6A" w:customStyle="1">
    <w:name w:val="4031126F51084A9A86CD046FD060BD6A"/>
  </w:style>
  <w:style w:type="paragraph" w:styleId="436273414D034D39A21A552B1A2ED569" w:customStyle="1">
    <w:name w:val="436273414D034D39A21A552B1A2ED569"/>
  </w:style>
  <w:style w:type="paragraph" w:styleId="BFE841D2E55C40AC92FC36BF4542CD81" w:customStyle="1">
    <w:name w:val="BFE841D2E55C40AC92FC36BF4542CD81"/>
  </w:style>
  <w:style w:type="paragraph" w:styleId="2477F91149C04C15BBB4A2D374C2DC9F" w:customStyle="1">
    <w:name w:val="2477F91149C04C15BBB4A2D374C2DC9F"/>
  </w:style>
  <w:style w:type="paragraph" w:styleId="6FA0649CCE414D25977CD97200994692" w:customStyle="1">
    <w:name w:val="6FA0649CCE414D25977CD97200994692"/>
  </w:style>
  <w:style w:type="paragraph" w:styleId="09D0620513574BC9BA562593104A5CE2" w:customStyle="1">
    <w:name w:val="09D0620513574BC9BA562593104A5CE2"/>
  </w:style>
  <w:style w:type="paragraph" w:styleId="4E79709E4FD345C8A44A6F07958466F4" w:customStyle="1">
    <w:name w:val="4E79709E4FD345C8A44A6F07958466F4"/>
  </w:style>
  <w:style w:type="paragraph" w:styleId="B4EC3829954D4B6B92D22460816DB37B" w:customStyle="1">
    <w:name w:val="B4EC3829954D4B6B92D22460816DB37B"/>
  </w:style>
  <w:style w:type="paragraph" w:styleId="B037267C97F14B5CACEFE21FD192096F" w:customStyle="1">
    <w:name w:val="B037267C97F14B5CACEFE21FD192096F"/>
  </w:style>
  <w:style w:type="paragraph" w:styleId="48A57B5A3DEE44FE8A627103651D960A" w:customStyle="1">
    <w:name w:val="48A57B5A3DEE44FE8A627103651D960A"/>
  </w:style>
  <w:style w:type="paragraph" w:styleId="141B8C240B0F4C96953F708080A09982" w:customStyle="1">
    <w:name w:val="141B8C240B0F4C96953F708080A09982"/>
  </w:style>
  <w:style w:type="paragraph" w:styleId="085A128035024C168C87E9A3593B3701" w:customStyle="1">
    <w:name w:val="085A128035024C168C87E9A3593B3701"/>
  </w:style>
  <w:style w:type="paragraph" w:styleId="071FB6F0C45C40C5A61CFB80D2283AE2" w:customStyle="1">
    <w:name w:val="071FB6F0C45C40C5A61CFB80D2283AE2"/>
  </w:style>
  <w:style w:type="paragraph" w:styleId="A3F7156C9A154477A10F00B2DCEE806A" w:customStyle="1">
    <w:name w:val="A3F7156C9A154477A10F00B2DCEE806A"/>
  </w:style>
  <w:style w:type="paragraph" w:styleId="FC1805FDB6C84818861EB724C07B6923" w:customStyle="1">
    <w:name w:val="FC1805FDB6C84818861EB724C07B6923"/>
  </w:style>
  <w:style w:type="paragraph" w:styleId="8BD6D43936F14939A2A9A55EDD2CCA22" w:customStyle="1">
    <w:name w:val="8BD6D43936F14939A2A9A55EDD2CCA22"/>
  </w:style>
  <w:style w:type="paragraph" w:styleId="188FD25DA2B54A48AF11197051DF543D" w:customStyle="1">
    <w:name w:val="188FD25DA2B54A48AF11197051DF543D"/>
  </w:style>
  <w:style w:type="paragraph" w:styleId="930364C370BF4AB6B268A69D5C958F94" w:customStyle="1">
    <w:name w:val="930364C370BF4AB6B268A69D5C958F94"/>
  </w:style>
  <w:style w:type="paragraph" w:styleId="BF196A4BD42147868F7AA375EAB55013" w:customStyle="1">
    <w:name w:val="BF196A4BD42147868F7AA375EAB55013"/>
  </w:style>
  <w:style w:type="paragraph" w:styleId="AD0BEE0754914022A887F027531D6E19" w:customStyle="1">
    <w:name w:val="AD0BEE0754914022A887F027531D6E19"/>
  </w:style>
  <w:style w:type="paragraph" w:styleId="C3F52888D72F4142BE08CCD7ACAC29F5" w:customStyle="1">
    <w:name w:val="C3F52888D72F4142BE08CCD7ACAC29F5"/>
  </w:style>
  <w:style w:type="paragraph" w:styleId="39734A9A91AC4A5E9F6FBF910BC5A5D5" w:customStyle="1">
    <w:name w:val="39734A9A91AC4A5E9F6FBF910BC5A5D5"/>
  </w:style>
  <w:style w:type="paragraph" w:styleId="7FDF49E5C40D47429085BE1D15A59C9C" w:customStyle="1">
    <w:name w:val="7FDF49E5C40D47429085BE1D15A59C9C"/>
  </w:style>
  <w:style w:type="paragraph" w:styleId="19582DF941CF4B1B954973E355E3BC99" w:customStyle="1">
    <w:name w:val="19582DF941CF4B1B954973E355E3BC99"/>
  </w:style>
  <w:style w:type="paragraph" w:styleId="4D9760756D1743EF98FDB7C963332084" w:customStyle="1">
    <w:name w:val="4D9760756D1743EF98FDB7C963332084"/>
  </w:style>
  <w:style w:type="paragraph" w:styleId="0323C38464CE4D38A0DB2E2656F837F9" w:customStyle="1">
    <w:name w:val="0323C38464CE4D38A0DB2E2656F837F9"/>
  </w:style>
  <w:style w:type="paragraph" w:styleId="F00125B6B8804229B7310CE876544BB8" w:customStyle="1">
    <w:name w:val="F00125B6B8804229B7310CE876544BB8"/>
  </w:style>
  <w:style w:type="paragraph" w:styleId="13C07A0D418848309AACF28ABCEC7DAE" w:customStyle="1">
    <w:name w:val="13C07A0D418848309AACF28ABCEC7DAE"/>
  </w:style>
  <w:style w:type="paragraph" w:styleId="C05F3A2E425B4F9AB41751E3DB113BBB" w:customStyle="1">
    <w:name w:val="C05F3A2E425B4F9AB41751E3DB113BBB"/>
  </w:style>
  <w:style w:type="paragraph" w:styleId="823D8C1D0AC649AB8147EFDDC2E70BB7" w:customStyle="1">
    <w:name w:val="823D8C1D0AC649AB8147EFDDC2E70BB7"/>
  </w:style>
  <w:style w:type="paragraph" w:styleId="CDD02ACBE70B421892A556A2C30AC1B2" w:customStyle="1">
    <w:name w:val="CDD02ACBE70B421892A556A2C30AC1B2"/>
  </w:style>
  <w:style w:type="paragraph" w:styleId="9B401CA7A1A44C0FAAA2673ACCA4E47B" w:customStyle="1">
    <w:name w:val="9B401CA7A1A44C0FAAA2673ACCA4E47B"/>
  </w:style>
  <w:style w:type="paragraph" w:styleId="944CD66EE0D543B1A4C51F62317EDAEB" w:customStyle="1">
    <w:name w:val="944CD66EE0D543B1A4C51F62317EDAEB"/>
  </w:style>
  <w:style w:type="paragraph" w:styleId="6BF40D50E5DF4905BF5213F50748678C" w:customStyle="1">
    <w:name w:val="6BF40D50E5DF4905BF5213F50748678C"/>
  </w:style>
  <w:style w:type="paragraph" w:styleId="151EED7293654FD7B95A70225ACB2751" w:customStyle="1">
    <w:name w:val="151EED7293654FD7B95A70225ACB2751"/>
  </w:style>
  <w:style w:type="paragraph" w:styleId="1316BD6898AE4DF5A47A769EE466EDC5" w:customStyle="1">
    <w:name w:val="1316BD6898AE4DF5A47A769EE466EDC5"/>
  </w:style>
  <w:style w:type="paragraph" w:styleId="C1E4FB28107A4B0FAD450A3E76CE10A2" w:customStyle="1">
    <w:name w:val="C1E4FB28107A4B0FAD450A3E76CE10A2"/>
  </w:style>
  <w:style w:type="paragraph" w:styleId="6F6CC14EE7FE4EC6ABFC02A7610F0721" w:customStyle="1">
    <w:name w:val="6F6CC14EE7FE4EC6ABFC02A7610F0721"/>
  </w:style>
  <w:style w:type="paragraph" w:styleId="58F8CADE4D4D4A73AD037C355038D631" w:customStyle="1">
    <w:name w:val="58F8CADE4D4D4A73AD037C355038D631"/>
  </w:style>
  <w:style w:type="paragraph" w:styleId="C28037F5C08B4CD6A0E527AB96F797E6" w:customStyle="1">
    <w:name w:val="C28037F5C08B4CD6A0E527AB96F797E6"/>
  </w:style>
  <w:style w:type="paragraph" w:styleId="CB49661E6DAF4C289C16C5442A39EEE3" w:customStyle="1">
    <w:name w:val="CB49661E6DAF4C289C16C5442A39EEE3"/>
  </w:style>
  <w:style w:type="paragraph" w:styleId="ED40759B6A0C46C485075BDB5089A4B9" w:customStyle="1">
    <w:name w:val="ED40759B6A0C46C485075BDB5089A4B9"/>
  </w:style>
  <w:style w:type="paragraph" w:styleId="482C5724B166420194D5FD783487BC81" w:customStyle="1">
    <w:name w:val="482C5724B166420194D5FD783487BC81"/>
  </w:style>
  <w:style w:type="paragraph" w:styleId="78C871A1FB4A462D9357A2DD93A09230" w:customStyle="1">
    <w:name w:val="78C871A1FB4A462D9357A2DD93A09230"/>
  </w:style>
  <w:style w:type="paragraph" w:styleId="B29BFD7AD66648BDBFF729C3E9CBB869" w:customStyle="1">
    <w:name w:val="B29BFD7AD66648BDBFF729C3E9CBB869"/>
  </w:style>
  <w:style w:type="paragraph" w:styleId="AEE960DD215346638EB1F9B51834F637" w:customStyle="1">
    <w:name w:val="AEE960DD215346638EB1F9B51834F637"/>
  </w:style>
  <w:style w:type="paragraph" w:styleId="2EB8FB73F7D24CC3AE72CA38A81A430A" w:customStyle="1">
    <w:name w:val="2EB8FB73F7D24CC3AE72CA38A81A430A"/>
  </w:style>
  <w:style w:type="paragraph" w:styleId="FF15863B1AE24421A9CB89435BF215FC" w:customStyle="1">
    <w:name w:val="FF15863B1AE24421A9CB89435BF215FC"/>
  </w:style>
  <w:style w:type="paragraph" w:styleId="3CA5711E3D364C878372FF74767FD1B6" w:customStyle="1">
    <w:name w:val="3CA5711E3D364C878372FF74767FD1B6"/>
  </w:style>
  <w:style w:type="paragraph" w:styleId="80B53364FDA640C68840F8940CB6B974" w:customStyle="1">
    <w:name w:val="80B53364FDA640C68840F8940CB6B974"/>
  </w:style>
  <w:style w:type="paragraph" w:styleId="3DC0BBC30E724669BC1A6120E6B42C6F" w:customStyle="1">
    <w:name w:val="3DC0BBC30E724669BC1A6120E6B42C6F"/>
  </w:style>
  <w:style w:type="paragraph" w:styleId="FD3580AC89FC4740AD3A94738878F2EC" w:customStyle="1">
    <w:name w:val="FD3580AC89FC4740AD3A94738878F2EC"/>
  </w:style>
  <w:style w:type="paragraph" w:styleId="F6BED332DD774B14B5916C22AA6C0757" w:customStyle="1">
    <w:name w:val="F6BED332DD774B14B5916C22AA6C0757"/>
  </w:style>
  <w:style w:type="paragraph" w:styleId="81EB72C60C6A432D9379538AC533407C" w:customStyle="1">
    <w:name w:val="81EB72C60C6A432D9379538AC533407C"/>
  </w:style>
  <w:style w:type="paragraph" w:styleId="462E6DB9B0764BDCB1EEE75CF400EF01" w:customStyle="1">
    <w:name w:val="462E6DB9B0764BDCB1EEE75CF400EF01"/>
  </w:style>
  <w:style w:type="paragraph" w:styleId="0A5094781A7E44E6B69FA4CD4D7C8B6B" w:customStyle="1">
    <w:name w:val="0A5094781A7E44E6B69FA4CD4D7C8B6B"/>
  </w:style>
  <w:style w:type="paragraph" w:styleId="662CD7642F744F6897D71BAC18B76879" w:customStyle="1">
    <w:name w:val="662CD7642F744F6897D71BAC18B76879"/>
  </w:style>
  <w:style w:type="paragraph" w:styleId="6CC64C70B7A1403FBCA6251CB7687434" w:customStyle="1">
    <w:name w:val="6CC64C70B7A1403FBCA6251CB7687434"/>
  </w:style>
  <w:style w:type="paragraph" w:styleId="6E1362B1065A4E14952DDB7AFAA0BB13" w:customStyle="1">
    <w:name w:val="6E1362B1065A4E14952DDB7AFAA0BB13"/>
  </w:style>
  <w:style w:type="paragraph" w:styleId="9F80BB56D29744659519436B676F5CB1" w:customStyle="1">
    <w:name w:val="9F80BB56D29744659519436B676F5CB1"/>
  </w:style>
  <w:style w:type="paragraph" w:styleId="842C5BF7341A45E58AB5AA4137EACF4D" w:customStyle="1">
    <w:name w:val="842C5BF7341A45E58AB5AA4137EACF4D"/>
  </w:style>
  <w:style w:type="paragraph" w:styleId="70691E683AE34924BCFFE207A0263536" w:customStyle="1">
    <w:name w:val="70691E683AE34924BCFFE207A0263536"/>
  </w:style>
  <w:style w:type="paragraph" w:styleId="B5C06480C95F4966974C23CB00C3DBEC" w:customStyle="1">
    <w:name w:val="B5C06480C95F4966974C23CB00C3DBEC"/>
  </w:style>
  <w:style w:type="paragraph" w:styleId="58461091B0094F6586858D1E1BE9BFDE" w:customStyle="1">
    <w:name w:val="58461091B0094F6586858D1E1BE9BFDE"/>
  </w:style>
  <w:style w:type="paragraph" w:styleId="8557C7DA9E5843B9BEBF46EBC6E9DA6E" w:customStyle="1">
    <w:name w:val="8557C7DA9E5843B9BEBF46EBC6E9DA6E"/>
  </w:style>
  <w:style w:type="paragraph" w:styleId="F09FB00C6C624128870BBC0FF4E84EC7" w:customStyle="1">
    <w:name w:val="F09FB00C6C624128870BBC0FF4E84EC7"/>
  </w:style>
  <w:style w:type="paragraph" w:styleId="F926FEDD963F42448AE2055BBEE2E9A2" w:customStyle="1">
    <w:name w:val="F926FEDD963F42448AE2055BBEE2E9A2"/>
  </w:style>
  <w:style w:type="paragraph" w:styleId="0F5D2E77995C4709B667FEFDF8A5E544" w:customStyle="1">
    <w:name w:val="0F5D2E77995C4709B667FEFDF8A5E544"/>
  </w:style>
  <w:style w:type="paragraph" w:styleId="6AD50667626946E587AA77160E8380A5" w:customStyle="1">
    <w:name w:val="6AD50667626946E587AA77160E8380A5"/>
  </w:style>
  <w:style w:type="paragraph" w:styleId="196A1B7E0A74401E8B0140C4B62D85D1" w:customStyle="1">
    <w:name w:val="196A1B7E0A74401E8B0140C4B62D85D1"/>
  </w:style>
  <w:style w:type="paragraph" w:styleId="30478C9B22764EAA8485D939FD2C15A2" w:customStyle="1">
    <w:name w:val="30478C9B22764EAA8485D939FD2C15A2"/>
  </w:style>
  <w:style w:type="paragraph" w:styleId="EC9507D55A114447BE998D6F0224EA9E" w:customStyle="1">
    <w:name w:val="EC9507D55A114447BE998D6F0224EA9E"/>
  </w:style>
  <w:style w:type="paragraph" w:styleId="3E08CFFFBE3D482BB234927FAEA9BEEC" w:customStyle="1">
    <w:name w:val="3E08CFFFBE3D482BB234927FAEA9BEEC"/>
  </w:style>
  <w:style w:type="paragraph" w:styleId="7FE27400E129469782C3B2FCECAECE5B" w:customStyle="1">
    <w:name w:val="7FE27400E129469782C3B2FCECAECE5B"/>
  </w:style>
  <w:style w:type="paragraph" w:styleId="992B23B25D8648D095529FC77E486050" w:customStyle="1">
    <w:name w:val="992B23B25D8648D095529FC77E486050"/>
  </w:style>
  <w:style w:type="paragraph" w:styleId="9F68DBA5B74A4B3E8BAD41F8584B8BBF" w:customStyle="1">
    <w:name w:val="9F68DBA5B74A4B3E8BAD41F8584B8BBF"/>
  </w:style>
  <w:style w:type="paragraph" w:styleId="8E18E31EF08B496386B34A33FADA81DF" w:customStyle="1">
    <w:name w:val="8E18E31EF08B496386B34A33FADA81DF"/>
  </w:style>
  <w:style w:type="paragraph" w:styleId="9B14300453BA402784C33D889596F1C4" w:customStyle="1">
    <w:name w:val="9B14300453BA402784C33D889596F1C4"/>
  </w:style>
  <w:style w:type="paragraph" w:styleId="D8C69E08423F413088DBABE47379F9A7" w:customStyle="1">
    <w:name w:val="D8C69E08423F413088DBABE47379F9A7"/>
  </w:style>
  <w:style w:type="paragraph" w:styleId="3BC5F7C3B9B946CCBABF65E989BC5057" w:customStyle="1">
    <w:name w:val="3BC5F7C3B9B946CCBABF65E989BC5057"/>
  </w:style>
  <w:style w:type="paragraph" w:styleId="C2776ACB4C3F49F195AB6F13FC529A93" w:customStyle="1">
    <w:name w:val="C2776ACB4C3F49F195AB6F13FC529A93"/>
  </w:style>
  <w:style w:type="paragraph" w:styleId="13B6D033EF5C431DAFFD5D367032F032" w:customStyle="1">
    <w:name w:val="13B6D033EF5C431DAFFD5D367032F032"/>
  </w:style>
  <w:style w:type="paragraph" w:styleId="E418C5A3899D4E5DAD0285B64FC636D3" w:customStyle="1">
    <w:name w:val="E418C5A3899D4E5DAD0285B64FC636D3"/>
  </w:style>
  <w:style w:type="paragraph" w:styleId="99FC406174594B05AB001E937BB7D596" w:customStyle="1">
    <w:name w:val="99FC406174594B05AB001E937BB7D596"/>
  </w:style>
  <w:style w:type="paragraph" w:styleId="D77ACEEBBDED405EA3CECA8230896612" w:customStyle="1">
    <w:name w:val="D77ACEEBBDED405EA3CECA8230896612"/>
  </w:style>
  <w:style w:type="paragraph" w:styleId="36CD87A686564B7980E41C4AADF7AEDF" w:customStyle="1">
    <w:name w:val="36CD87A686564B7980E41C4AADF7AEDF"/>
  </w:style>
  <w:style w:type="paragraph" w:styleId="429EE1A40F7E4218A86D07F88D237F4A" w:customStyle="1">
    <w:name w:val="429EE1A40F7E4218A86D07F88D237F4A"/>
  </w:style>
  <w:style w:type="paragraph" w:styleId="CEB2024B52AB47FFBB141E882C675073" w:customStyle="1">
    <w:name w:val="CEB2024B52AB47FFBB141E882C675073"/>
  </w:style>
  <w:style w:type="paragraph" w:styleId="7577CD56F20B45FC99A863F5A892D852" w:customStyle="1">
    <w:name w:val="7577CD56F20B45FC99A863F5A892D852"/>
  </w:style>
  <w:style w:type="paragraph" w:styleId="C8C9DB8C45BE466D87D0FDE29CD36681" w:customStyle="1">
    <w:name w:val="C8C9DB8C45BE466D87D0FDE29CD36681"/>
  </w:style>
  <w:style w:type="paragraph" w:styleId="58B1B801E9CF4F5EB4AC583BB0FA34A9" w:customStyle="1">
    <w:name w:val="58B1B801E9CF4F5EB4AC583BB0FA34A9"/>
  </w:style>
  <w:style w:type="paragraph" w:styleId="6574FB4F819A4271B84A85814287423D" w:customStyle="1">
    <w:name w:val="6574FB4F819A4271B84A85814287423D"/>
  </w:style>
  <w:style w:type="paragraph" w:styleId="9C26652AFDB641E993E82C4D6BE10466" w:customStyle="1">
    <w:name w:val="9C26652AFDB641E993E82C4D6BE10466"/>
  </w:style>
  <w:style w:type="paragraph" w:styleId="878F0EC0FB50408289D2FCF24E130A64" w:customStyle="1">
    <w:name w:val="878F0EC0FB50408289D2FCF24E130A64"/>
  </w:style>
  <w:style w:type="paragraph" w:styleId="094355B5CC7E45919BDF780829B45891" w:customStyle="1">
    <w:name w:val="094355B5CC7E45919BDF780829B45891"/>
  </w:style>
  <w:style w:type="paragraph" w:styleId="79EC8801B2A34FD58B37797AAB6E5511" w:customStyle="1">
    <w:name w:val="79EC8801B2A34FD58B37797AAB6E5511"/>
  </w:style>
  <w:style w:type="paragraph" w:styleId="D20DA07CBB784169B5886226ED1BD34E" w:customStyle="1">
    <w:name w:val="D20DA07CBB784169B5886226ED1BD34E"/>
  </w:style>
  <w:style w:type="paragraph" w:styleId="2E20321C56CE45E89E449735A7EAE4FF" w:customStyle="1">
    <w:name w:val="2E20321C56CE45E89E449735A7EAE4FF"/>
  </w:style>
  <w:style w:type="paragraph" w:styleId="9081B7119D5B4E498DCED8359AFC27A2" w:customStyle="1">
    <w:name w:val="9081B7119D5B4E498DCED8359AFC27A2"/>
  </w:style>
  <w:style w:type="paragraph" w:styleId="2935389E43A14B58880CDB8BB11F5688" w:customStyle="1">
    <w:name w:val="2935389E43A14B58880CDB8BB11F5688"/>
  </w:style>
  <w:style w:type="paragraph" w:styleId="C8CF130EDF654E439CEF2AA832FC0076" w:customStyle="1">
    <w:name w:val="C8CF130EDF654E439CEF2AA832FC0076"/>
  </w:style>
  <w:style w:type="paragraph" w:styleId="7ED1C7F5BBA84D1987799E0666582D8E" w:customStyle="1">
    <w:name w:val="7ED1C7F5BBA84D1987799E0666582D8E"/>
  </w:style>
  <w:style w:type="paragraph" w:styleId="EBDB0445FEC244E3B2A0AE031CF6D4DC" w:customStyle="1">
    <w:name w:val="EBDB0445FEC244E3B2A0AE031CF6D4DC"/>
  </w:style>
  <w:style w:type="paragraph" w:styleId="94AACE5AB6CF47738BE5AE748ECFA462" w:customStyle="1">
    <w:name w:val="94AACE5AB6CF47738BE5AE748ECFA462"/>
  </w:style>
  <w:style w:type="paragraph" w:styleId="DBA11AF18BCC496FB315F3634664CF48" w:customStyle="1">
    <w:name w:val="DBA11AF18BCC496FB315F3634664CF48"/>
  </w:style>
  <w:style w:type="paragraph" w:styleId="34BED8DC05224361B571E47577C06127" w:customStyle="1">
    <w:name w:val="34BED8DC05224361B571E47577C06127"/>
  </w:style>
  <w:style w:type="paragraph" w:styleId="DB2730F374304C548DEFF7946DED8F43" w:customStyle="1">
    <w:name w:val="DB2730F374304C548DEFF7946DED8F43"/>
  </w:style>
  <w:style w:type="paragraph" w:styleId="71F1E9FF003840D19583AF715C634A0B" w:customStyle="1">
    <w:name w:val="71F1E9FF003840D19583AF715C634A0B"/>
  </w:style>
  <w:style w:type="paragraph" w:styleId="261A8D37DF614BD5B9F5E6BFBA4A54D6" w:customStyle="1">
    <w:name w:val="261A8D37DF614BD5B9F5E6BFBA4A54D6"/>
  </w:style>
  <w:style w:type="paragraph" w:styleId="1D0E201B3ADC43D0B32AEE7CAC9D548B" w:customStyle="1">
    <w:name w:val="1D0E201B3ADC43D0B32AEE7CAC9D548B"/>
  </w:style>
  <w:style w:type="paragraph" w:styleId="D40C2AAD9C29410BACCFDBBCE0F3B23F" w:customStyle="1">
    <w:name w:val="D40C2AAD9C29410BACCFDBBCE0F3B23F"/>
  </w:style>
  <w:style w:type="paragraph" w:styleId="EB76C6F5616A46689C9D44AA3DEB815B" w:customStyle="1">
    <w:name w:val="EB76C6F5616A46689C9D44AA3DEB815B"/>
  </w:style>
  <w:style w:type="paragraph" w:styleId="08155B8B3998465EBB0CC405C88B0D30" w:customStyle="1">
    <w:name w:val="08155B8B3998465EBB0CC405C88B0D30"/>
  </w:style>
  <w:style w:type="paragraph" w:styleId="B9D58A6B1B4C490BA24E6C6BDD7E5CE2" w:customStyle="1">
    <w:name w:val="B9D58A6B1B4C490BA24E6C6BDD7E5CE2"/>
  </w:style>
  <w:style w:type="paragraph" w:styleId="31415282A4894FCCBCD5D72EC86D3DE7" w:customStyle="1">
    <w:name w:val="31415282A4894FCCBCD5D72EC86D3DE7"/>
  </w:style>
  <w:style w:type="paragraph" w:styleId="193459EBBC6A4E6DA174704BE3E20DCB" w:customStyle="1">
    <w:name w:val="193459EBBC6A4E6DA174704BE3E20DCB"/>
  </w:style>
  <w:style w:type="paragraph" w:styleId="D0CBE49DBA5244C785A066C81725D4C0" w:customStyle="1">
    <w:name w:val="D0CBE49DBA5244C785A066C81725D4C0"/>
  </w:style>
  <w:style w:type="paragraph" w:styleId="D04B85F9AC0A467F86DFB597395422FD" w:customStyle="1">
    <w:name w:val="D04B85F9AC0A467F86DFB597395422FD"/>
  </w:style>
  <w:style w:type="paragraph" w:styleId="BD67969980A04DCA8929323AF8D705A0" w:customStyle="1">
    <w:name w:val="BD67969980A04DCA8929323AF8D705A0"/>
  </w:style>
  <w:style w:type="paragraph" w:styleId="2B7E8FDB810D4AB39B6F936A153B13F3" w:customStyle="1">
    <w:name w:val="2B7E8FDB810D4AB39B6F936A153B13F3"/>
  </w:style>
  <w:style w:type="paragraph" w:styleId="0DA72AAF8D69467D8A9C7402848AFE69" w:customStyle="1">
    <w:name w:val="0DA72AAF8D69467D8A9C7402848AFE69"/>
  </w:style>
  <w:style w:type="paragraph" w:styleId="761485AB6C2C49B0A012F708644E7456" w:customStyle="1">
    <w:name w:val="761485AB6C2C49B0A012F708644E7456"/>
  </w:style>
  <w:style w:type="paragraph" w:styleId="58636E12B68E482587DF747903B763CC" w:customStyle="1">
    <w:name w:val="58636E12B68E482587DF747903B763CC"/>
  </w:style>
  <w:style w:type="paragraph" w:styleId="E22CBC507B414475B2211588D787365D" w:customStyle="1">
    <w:name w:val="E22CBC507B414475B2211588D787365D"/>
  </w:style>
  <w:style w:type="paragraph" w:styleId="BEAEEEFFB12246039DBA54FA29542F04" w:customStyle="1">
    <w:name w:val="BEAEEEFFB12246039DBA54FA29542F04"/>
  </w:style>
  <w:style w:type="paragraph" w:styleId="4C478912E71040E59E28D7E070C88D32" w:customStyle="1">
    <w:name w:val="4C478912E71040E59E28D7E070C88D32"/>
  </w:style>
  <w:style w:type="paragraph" w:styleId="DE7A99B64A0342F09227E6DCBC24EAE2" w:customStyle="1">
    <w:name w:val="DE7A99B64A0342F09227E6DCBC24EAE2"/>
  </w:style>
  <w:style w:type="paragraph" w:styleId="E8A96956FC5743A4B0C9CD91F382DB7D" w:customStyle="1">
    <w:name w:val="E8A96956FC5743A4B0C9CD91F382DB7D"/>
  </w:style>
  <w:style w:type="paragraph" w:styleId="0B62EBA770DB497EBACFF2CC65959633" w:customStyle="1">
    <w:name w:val="0B62EBA770DB497EBACFF2CC65959633"/>
  </w:style>
  <w:style w:type="paragraph" w:styleId="897E877C7A444095B55268A735A898DA" w:customStyle="1">
    <w:name w:val="897E877C7A444095B55268A735A898DA"/>
  </w:style>
  <w:style w:type="paragraph" w:styleId="DF5C8C4B2773423B9A81967487A09FFD" w:customStyle="1">
    <w:name w:val="DF5C8C4B2773423B9A81967487A09FFD"/>
  </w:style>
  <w:style w:type="paragraph" w:styleId="9EEC561C0CE441B3B7D38BF84452E96B" w:customStyle="1">
    <w:name w:val="9EEC561C0CE441B3B7D38BF84452E96B"/>
  </w:style>
  <w:style w:type="paragraph" w:styleId="64E32721AE4F44E494FDCFEC0E3BC28B" w:customStyle="1">
    <w:name w:val="64E32721AE4F44E494FDCFEC0E3BC28B"/>
  </w:style>
  <w:style w:type="paragraph" w:styleId="B488407A6A054733AF688CA9DA3F3F26" w:customStyle="1">
    <w:name w:val="B488407A6A054733AF688CA9DA3F3F26"/>
  </w:style>
  <w:style w:type="paragraph" w:styleId="AE8B84150F0F4547920DCD3F0962F362" w:customStyle="1">
    <w:name w:val="AE8B84150F0F4547920DCD3F0962F362"/>
  </w:style>
  <w:style w:type="paragraph" w:styleId="2D2A8FB5A57B497287736A1795F02C29" w:customStyle="1">
    <w:name w:val="2D2A8FB5A57B497287736A1795F02C29"/>
  </w:style>
  <w:style w:type="paragraph" w:styleId="07A2531FC33746BF814CF2F5E42996F1" w:customStyle="1">
    <w:name w:val="07A2531FC33746BF814CF2F5E42996F1"/>
  </w:style>
  <w:style w:type="paragraph" w:styleId="33001AD08FAF4A76B7B0D10717571DB4" w:customStyle="1">
    <w:name w:val="33001AD08FAF4A76B7B0D10717571DB4"/>
  </w:style>
  <w:style w:type="paragraph" w:styleId="700A1AD2009745B0A3D6C5B4920D86F2" w:customStyle="1">
    <w:name w:val="700A1AD2009745B0A3D6C5B4920D86F2"/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8AD40-6B07-44EF-8326-E358840FB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haracters>19663</Characters>
  <CharactersWithSpaces>23066</CharactersWithSpaces>
  <Company>НМТП</Company>
  <DocSecurity>0</DocSecurity>
  <HyperlinksChanged>false</HyperlinksChanged>
  <Lines>163</Lines>
  <LinksUpToDate>false</LinksUpToDate>
  <Pages>7</Pages>
  <Paragraphs>46</Paragraphs>
  <ScaleCrop>false</ScaleCrop>
  <SharedDoc>false</SharedDoc>
  <Template>Normal.dotm</Template>
  <TotalTime>1</TotalTime>
  <Words>3449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Ivashneva_VV</dc:creator>
  <cp:keywords/>
  <cp:lastModifiedBy>rradchenko</cp:lastModifiedBy>
  <cp:revision>1</cp:revision>
  <dcterms:created xsi:type="dcterms:W3CDTF">2024-10-28T06:17:00Z</dcterms:created>
  <dcterms:modified xsi:type="dcterms:W3CDTF">2026-03-12T12:24:00Z</dcterms:modified>
</cp:coreProperties>
</file>